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9C6F1E"/>
          <w:spacing w:val="40"/>
          <w:sz w:val="20"/>
          <w:szCs w:val="20"/>
        </w:rPr>
        <w:t xml:space="preserve">PROJECT DOCUMENT</w:t>
      </w:r>
    </w:p>
    <w:p>
      <w:pPr>
        <w:spacing w:after="300"/>
        <w:jc w:val="center"/>
      </w:pPr>
      <w:r>
        <w:rPr>
          <w:color w:val="222222"/>
          <w:sz w:val="30"/>
          <w:szCs w:val="30"/>
        </w:rPr>
        <w:t xml:space="preserve">Digital Trading Platform for the</w:t>
      </w:r>
    </w:p>
    <w:p>
      <w:pPr>
        <w:spacing w:after="500"/>
        <w:jc w:val="center"/>
      </w:pPr>
      <w:r>
        <w:rPr>
          <w:b/>
          <w:bCs/>
          <w:color w:val="9C6F1E"/>
          <w:sz w:val="44"/>
          <w:szCs w:val="44"/>
        </w:rPr>
        <w:t xml:space="preserve">Ghana Chamber of Gold Buyers</w:t>
      </w:r>
    </w:p>
    <w:p>
      <w:pPr>
        <w:spacing w:after="2400"/>
        <w:jc w:val="center"/>
      </w:pPr>
      <w:r>
        <w:rPr>
          <w:i/>
          <w:iCs/>
          <w:color w:val="222222"/>
          <w:sz w:val="24"/>
          <w:szCs w:val="24"/>
        </w:rPr>
        <w:t xml:space="preserve">A Controlled B2B Exchange for Tier 1 and Tier 2 Gold Trading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0"/>
      </w:tblGrid>
      <w:tr>
        <w:trPr>
          <w:tblHeader/>
        </w:trPr>
        <w:tc>
          <w:tcPr>
            <w:tcW w:type="dxa" w:w="32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Charter &amp; Implementation Plan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Ghana Chamber of Gold Buyers</w:t>
            </w:r>
          </w:p>
        </w:tc>
      </w:tr>
      <w:tr>
        <w:tc>
          <w:tcPr>
            <w:tcW w:type="dxa" w:w="3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6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Ghana Chamber of Gold Buyers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3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August 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1. Project Background</w:t>
      </w:r>
    </w:p>
    <w:p>
      <w:pPr>
        <w:spacing w:after="150" w:line="270"/>
      </w:pPr>
      <w:r>
        <w:rPr>
          <w:sz w:val="21"/>
          <w:szCs w:val="21"/>
        </w:rPr>
        <w:t xml:space="preserve">The Ghana Chamber of Gold Buyers oversees and formalizes the legal gold trade between Tier 1 Buyers (large refiners, bullion banks, international traders) and Tier 2 Buyers (licensed local exporters, aggregators, jewelers, and manufacturers). Trading between these parties currently relies on manual, fragmented processes that make it difficult to verify participants, track transactions, and demonstrate compliance.</w:t>
      </w:r>
    </w:p>
    <w:p>
      <w:pPr>
        <w:spacing w:after="150" w:line="270"/>
      </w:pPr>
      <w:r>
        <w:rPr>
          <w:sz w:val="21"/>
          <w:szCs w:val="21"/>
        </w:rPr>
        <w:t xml:space="preserve">This project proposes the design and implementation of a digital trading platform that gives the Chamber a controlled, traceable environment for member trading, along with a foundation for broader member services and new recurring revenue.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Provide a secure, verified environment where Tier 1 and Tier 2 members can trade gold under Chamber oversight.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Replace manual, undocumented trading processes with a traceable digital workflow.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Strengthen KYC/AML compliance and give the Chamber a full audit trail of member activity.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Create new, recurring revenue streams for the Chamber beyond membership dues.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Build a platform that can extend into wider member services — logistics, assay, certification, and market intelligence — over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Position the Chamber as the digital infrastructure backbone of Ghana's formal gold trade.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3. Scope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Member registration, licensing, and identity verification (KYC/AML)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Gold lot listing and management (weight, purity, serial numbers)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RFQ (Request for Quote) and negotiated-trading workflow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Optional auction module for high-demand lots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Digital contracts and escrow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Payment integration and delivery tracking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Assay, certification, and export documentation workflows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Logistics and vault coordination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Compliance, audit, and analytics reporting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2"/>
          <w:szCs w:val="22"/>
        </w:rP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Physical vault construction or ownership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Direct extension of credit or trade finance by the platform itself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International regulatory licensing outside Ghana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 applications (planned as a future enhancement, see Section 9)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4. Recommended Platform Model</w:t>
      </w:r>
    </w:p>
    <w:p>
      <w:pPr>
        <w:spacing w:after="150" w:line="270"/>
      </w:pPr>
      <w:r>
        <w:rPr>
          <w:sz w:val="21"/>
          <w:szCs w:val="21"/>
        </w:rPr>
        <w:t xml:space="preserve">Given the high value and regulated nature of gold trading, the platform should be built as a controlled exchange rather than an open marketplace. Every participant is verified and licensed before being granted access, and every trade moves through a structured, auditable sequence: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20"/>
      </w:tblGrid>
      <w:tr>
        <w:trPr>
          <w:tblHeader/>
        </w:trPr>
        <w:tc>
          <w:tcPr>
            <w:tcW w:type="dxa" w:w="14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0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Seller lists an available gold lot on the platform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1 and Tier 2 buyers submit bids or RFQ responses</w:t>
            </w:r>
          </w:p>
        </w:tc>
      </w:tr>
      <w:tr>
        <w:tc>
          <w:tcPr>
            <w:tcW w:type="dxa" w:w="1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Seller compares offers received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Buyer and seller negotiate terms</w:t>
            </w:r>
          </w:p>
        </w:tc>
      </w:tr>
      <w:tr>
        <w:tc>
          <w:tcPr>
            <w:tcW w:type="dxa" w:w="1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Chamber reviews and approves the transaction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is placed into escrow</w:t>
            </w:r>
          </w:p>
        </w:tc>
      </w:tr>
      <w:tr>
        <w:tc>
          <w:tcPr>
            <w:tcW w:type="dxa" w:w="1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 is delivered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Ownership formally transfers</w:t>
            </w:r>
          </w:p>
        </w:tc>
      </w:tr>
    </w:tbl>
    <w:p>
      <w:pPr>
        <w:spacing w:after="150" w:line="270"/>
      </w:pPr>
      <w:r>
        <w:rPr>
          <w:sz w:val="21"/>
          <w:szCs w:val="21"/>
        </w:rPr>
        <w:t xml:space="preserve">High-demand lots can additionally move through a timed, reverse, or sealed-bid auction, with the highest qualified bidder winning.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5. Project Phases &amp; Deliverables</w:t>
      </w:r>
    </w:p>
    <w:p>
      <w:pPr>
        <w:spacing w:after="150" w:line="270"/>
      </w:pPr>
      <w:r>
        <w:rPr>
          <w:sz w:val="21"/>
          <w:szCs w:val="21"/>
        </w:rPr>
        <w:t xml:space="preserve">The project is structured into four phases. Each phase produces a working deliverable, allowing the Chamber to adopt the platform incrementally rather than waiting for a single, large launch.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700"/>
        <w:gridCol w:w="1620"/>
      </w:tblGrid>
      <w:tr>
        <w:trPr>
          <w:tblHeader/>
        </w:trPr>
        <w:tc>
          <w:tcPr>
            <w:tcW w:type="dxa" w:w="9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7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6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Indicative Duration</w:t>
            </w:r>
          </w:p>
        </w:tc>
      </w:tr>
      <w:tr>
        <w:tc>
          <w:tcPr>
            <w:tcW w:type="dxa" w:w="9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 Member Portal</w:t>
            </w:r>
          </w:p>
        </w:tc>
        <w:tc>
          <w:tcPr>
            <w:tcW w:type="dxa" w:w="47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 registration &amp; verification, license management, digital profiles, document repository, messaging</w:t>
            </w:r>
          </w:p>
        </w:tc>
        <w:tc>
          <w:tcPr>
            <w:tcW w:type="dxa" w:w="16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8–10 weeks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Trading Platform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 lot creation, RFQ engine, negotiation &amp; counter-offers, deal acceptance, digital contracts</w:t>
            </w:r>
          </w:p>
        </w:tc>
        <w:tc>
          <w:tcPr>
            <w:tcW w:type="dxa" w:w="1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10–14 weeks</w:t>
            </w:r>
          </w:p>
        </w:tc>
      </w:tr>
      <w:tr>
        <w:tc>
          <w:tcPr>
            <w:tcW w:type="dxa" w:w="9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Value-Added Services</w:t>
            </w:r>
          </w:p>
        </w:tc>
        <w:tc>
          <w:tcPr>
            <w:tcW w:type="dxa" w:w="47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Assay requests, logistics coordination, insurance requests, export documentation, payment confirmation, vault management</w:t>
            </w:r>
          </w:p>
        </w:tc>
        <w:tc>
          <w:tcPr>
            <w:tcW w:type="dxa" w:w="16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8–10 weeks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 dashboard, pricing data, trading volumes, buyer activity, regional demand, compliance reporting</w:t>
            </w:r>
          </w:p>
        </w:tc>
        <w:tc>
          <w:tcPr>
            <w:tcW w:type="dxa" w:w="1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4–6 weeks</w:t>
            </w:r>
          </w:p>
        </w:tc>
      </w:tr>
    </w:tbl>
    <w:p>
      <w:pPr>
        <w:spacing w:after="150" w:line="270"/>
      </w:pPr>
      <w:r>
        <w:rPr>
          <w:sz w:val="21"/>
          <w:szCs w:val="21"/>
        </w:rPr>
        <w:t xml:space="preserve">Total indicative timeline: approximately 30–40 weeks from project start to full platform launch, subject to scope confirmation and Chamber review cycles at the end of each phase.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6. Governance &amp; Stakeholders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0"/>
      </w:tblGrid>
      <w:tr>
        <w:trPr>
          <w:tblHeader/>
        </w:trPr>
        <w:tc>
          <w:tcPr>
            <w:tcW w:type="dxa" w:w="30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0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Sponsor (Chamber)</w:t>
            </w:r>
          </w:p>
        </w:tc>
        <w:tc>
          <w:tcPr>
            <w:tcW w:type="dxa" w:w="64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Overall accountability, member communication, governance and trading rules, final approval at each phase gate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Technology Partner</w:t>
            </w:r>
          </w:p>
        </w:tc>
        <w:tc>
          <w:tcPr>
            <w:tcW w:type="dxa" w:w="64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development, hosting, security, support, and ongoing enhancements</w:t>
            </w:r>
          </w:p>
        </w:tc>
      </w:tr>
      <w:tr>
        <w:tc>
          <w:tcPr>
            <w:tcW w:type="dxa" w:w="30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 Verification Committee</w:t>
            </w:r>
          </w:p>
        </w:tc>
        <w:tc>
          <w:tcPr>
            <w:tcW w:type="dxa" w:w="64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Reviewing and approving Tier 1 / Tier 2 licensing and KYC/AML documentation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64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Monitoring audit trails, flagging irregular activity, liaising with regulators</w:t>
            </w:r>
          </w:p>
        </w:tc>
      </w:tr>
      <w:tr>
        <w:tc>
          <w:tcPr>
            <w:tcW w:type="dxa" w:w="30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1 Buyers</w:t>
            </w:r>
          </w:p>
        </w:tc>
        <w:tc>
          <w:tcPr>
            <w:tcW w:type="dxa" w:w="64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users — refiners, bullion banks, international traders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2 Buyers</w:t>
            </w:r>
          </w:p>
        </w:tc>
        <w:tc>
          <w:tcPr>
            <w:tcW w:type="dxa" w:w="64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users — licensed local exporters, aggregators, jewelers, manufacturers</w:t>
            </w:r>
          </w:p>
        </w:tc>
      </w:tr>
    </w:tbl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7. Commercial Model</w:t>
      </w:r>
    </w:p>
    <w:p>
      <w:pPr>
        <w:spacing w:after="150" w:line="270"/>
      </w:pPr>
      <w:r>
        <w:rPr>
          <w:sz w:val="21"/>
          <w:szCs w:val="21"/>
        </w:rPr>
        <w:t xml:space="preserve">A revenue-sharing partnership is recommended over a direct-licensing model, as it requires no upfront capital investment from the Chamber. Under this structure, the Chamber contributes brand, member access, marketing, and governance; the technology partner contributes development, hosting, security, and support.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220"/>
      </w:tblGrid>
      <w:tr>
        <w:trPr>
          <w:tblHeader/>
        </w:trPr>
        <w:tc>
          <w:tcPr>
            <w:tcW w:type="dxa" w:w="52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Source</w:t>
            </w:r>
          </w:p>
        </w:tc>
        <w:tc>
          <w:tcPr>
            <w:tcW w:type="dxa" w:w="42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Charged To</w:t>
            </w:r>
          </w:p>
        </w:tc>
      </w:tr>
      <w:tr>
        <w:tc>
          <w:tcPr>
            <w:tcW w:type="dxa" w:w="5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Buyer / seller transaction fee</w:t>
            </w:r>
          </w:p>
        </w:tc>
        <w:tc>
          <w:tcPr>
            <w:tcW w:type="dxa" w:w="4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parties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Premium membership</w:t>
            </w:r>
          </w:p>
        </w:tc>
        <w:tc>
          <w:tcPr>
            <w:tcW w:type="dxa" w:w="4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Businesses</w:t>
            </w:r>
          </w:p>
        </w:tc>
      </w:tr>
      <w:tr>
        <w:tc>
          <w:tcPr>
            <w:tcW w:type="dxa" w:w="5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RFQ submission fee (optional)</w:t>
            </w:r>
          </w:p>
        </w:tc>
        <w:tc>
          <w:tcPr>
            <w:tcW w:type="dxa" w:w="4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Buyers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 contract &amp; escrow fee</w:t>
            </w:r>
          </w:p>
        </w:tc>
        <w:tc>
          <w:tcPr>
            <w:tcW w:type="dxa" w:w="4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parties</w:t>
            </w:r>
          </w:p>
        </w:tc>
      </w:tr>
      <w:tr>
        <w:tc>
          <w:tcPr>
            <w:tcW w:type="dxa" w:w="5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Logistics coordination fee</w:t>
            </w:r>
          </w:p>
        </w:tc>
        <w:tc>
          <w:tcPr>
            <w:tcW w:type="dxa" w:w="42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Opt-in users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Trade finance / insurance referral commission</w:t>
            </w:r>
          </w:p>
        </w:tc>
        <w:tc>
          <w:tcPr>
            <w:tcW w:type="dxa" w:w="42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Financial institutions / insurers</w:t>
            </w:r>
          </w:p>
        </w:tc>
      </w:tr>
    </w:tbl>
    <w:p>
      <w:pPr>
        <w:spacing w:after="150" w:line="270"/>
      </w:pPr>
      <w:r>
        <w:rPr>
          <w:sz w:val="21"/>
          <w:szCs w:val="21"/>
        </w:rPr>
        <w:t xml:space="preserve">Example: a 10 kg gold trade valued at US$1,000,000, with a 0.10% fee charged to each side, generates US$2,000 in platform revenue. Under a suggested 70/30 split (technology partner / Chamber), this yields approximately US$600 to the Chamber per transaction of this size, in addition to any subscription and service-based income.</w:t>
      </w:r>
    </w:p>
    <w:p>
      <w:pPr>
        <w:spacing w:after="150" w:line="270"/>
      </w:pPr>
      <w:r>
        <w:rPr>
          <w:sz w:val="21"/>
          <w:szCs w:val="21"/>
        </w:rPr>
        <w:t xml:space="preserve">Fee design should avoid high percentage commissions that could discourage use. A small fixed fee, a fee per kilogram traded, or a capped percentage are all more sustainable structures for high-value trades.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8. Risks &amp; Mitigations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0"/>
      </w:tblGrid>
      <w:tr>
        <w:trPr>
          <w:tblHeader/>
        </w:trPr>
        <w:tc>
          <w:tcPr>
            <w:tcW w:type="dxa" w:w="34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 member adoption in early phases</w:t>
            </w:r>
          </w:p>
        </w:tc>
        <w:tc>
          <w:tcPr>
            <w:tcW w:type="dxa" w:w="6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 tier for verified members; phased rollout starting with Phase 1 portal; Chamber-led onboarding campaign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Regulatory or compliance gaps</w:t>
            </w:r>
          </w:p>
        </w:tc>
        <w:tc>
          <w:tcPr>
            <w:tcW w:type="dxa" w:w="6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Dedicated Compliance Officer role; KYC/AML built into registration; full audit trail on every transaction</w:t>
            </w:r>
          </w:p>
        </w:tc>
      </w:tr>
      <w:tr>
        <w:tc>
          <w:tcPr>
            <w:tcW w:type="dxa" w:w="3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Disputes over trade terms or delivery</w:t>
            </w:r>
          </w:p>
        </w:tc>
        <w:tc>
          <w:tcPr>
            <w:tcW w:type="dxa" w:w="6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 contracts with clear terms; escrow holding funds until delivery confirmation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 structure discourages high-value trades</w:t>
            </w:r>
          </w:p>
        </w:tc>
        <w:tc>
          <w:tcPr>
            <w:tcW w:type="dxa" w:w="60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Capped or fixed fees rather than uncapped percentage commissions</w:t>
            </w:r>
          </w:p>
        </w:tc>
      </w:tr>
      <w:tr>
        <w:tc>
          <w:tcPr>
            <w:tcW w:type="dxa" w:w="34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Technology partner dependency</w:t>
            </w:r>
          </w:p>
        </w:tc>
        <w:tc>
          <w:tcPr>
            <w:tcW w:type="dxa" w:w="60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ownership terms for platform IP and data; documented handover provisions in the partnership agreement</w:t>
            </w:r>
          </w:p>
        </w:tc>
      </w:tr>
    </w:tbl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9. Future Enhancements</w:t>
      </w:r>
    </w:p>
    <w:p>
      <w:pPr>
        <w:spacing w:after="150" w:line="270"/>
      </w:pPr>
      <w:r>
        <w:rPr>
          <w:sz w:val="21"/>
          <w:szCs w:val="21"/>
        </w:rPr>
        <w:t xml:space="preserve">Once the core platform is established and adopted, the following can be considered as follow-on phases: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 apps and business intelligence dashboards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AI-powered pricing predictions and market insights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ERP and payment gateway integration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API services for banks and refineries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White-label versions for other commodity associations, such as cocoa, timber, or diamonds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10. Success Criteria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Number of verified Tier 1 and Tier 2 members onboarded within 6 months of Phase 1 launch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Percentage of Chamber-facilitated trades conducted through the platform within 12 months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Reduction in trade disputes and documentation errors compared to current manual processes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Platform revenue generated through transaction and subscription fees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Member satisfaction with onboarding, trading, and support experience</w:t>
      </w:r>
    </w:p>
    <w:p>
      <w:pPr>
        <w:pStyle w:val="Heading1"/>
        <w:pBdr>
          <w:bottom w:val="single" w:color="9C6F1E" w:sz="6" w:space="4"/>
        </w:pBdr>
        <w:spacing w:after="160" w:before="380"/>
      </w:pPr>
      <w:r>
        <w:rPr>
          <w:b/>
          <w:bCs/>
          <w:color w:val="9C6F1E"/>
          <w:sz w:val="27"/>
          <w:szCs w:val="27"/>
        </w:rPr>
        <w:t xml:space="preserve">11. Approval</w:t>
      </w:r>
    </w:p>
    <w:p>
      <w:pPr>
        <w:spacing w:after="150" w:line="270"/>
      </w:pPr>
      <w:r>
        <w:rPr>
          <w:sz w:val="21"/>
          <w:szCs w:val="21"/>
        </w:rPr>
        <w:t xml:space="preserve">This project document is submitted for review and approval by the Ghana Chamber of Gold Buyers. Upon approval, a detailed project plan, budget confirmation, and technology partner agreement will be developed for Phase 1.</w:t>
      </w:r>
    </w:p>
    <w:p>
      <w:pPr>
        <w:spacing w:before="30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2100"/>
        <w:gridCol w:w="1420"/>
      </w:tblGrid>
      <w:tr>
        <w:trPr>
          <w:tblHeader/>
        </w:trPr>
        <w:tc>
          <w:tcPr>
            <w:tcW w:type="dxa" w:w="27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0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420"/>
            <w:shd w:fill="9C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7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Chamber Representative</w:t>
            </w:r>
          </w:p>
        </w:tc>
        <w:tc>
          <w:tcPr>
            <w:tcW w:type="dxa" w:w="210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shd w:fill="F5EF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Technology Partner Representative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6F1E" w:sz="4" w:space="4"/>
      </w:pBdr>
      <w:jc w:val="right"/>
    </w:pPr>
    <w:r>
      <w:rPr>
        <w:color w:val="888888"/>
        <w:sz w:val="16"/>
        <w:szCs w:val="16"/>
      </w:rPr>
      <w:t xml:space="preserve">Ghana Chamber of Gold Buyers — Digital Trading Platform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2026-08-12T10:49:47.159Z</dcterms:created>
  <dcterms:modified xsi:type="dcterms:W3CDTF">2026-08-12T10:49:47.178Z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