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744" w:val="clear"/>
        <w:spacing w:after="240" w:before="1200"/>
        <w:jc w:val="center"/>
      </w:pPr>
      <w:r>
        <w:rPr>
          <w:rFonts w:ascii="Arial" w:cs="Arial" w:eastAsia="Arial" w:hAnsi="Arial"/>
          <w:b/>
          <w:bCs/>
          <w:color w:val="FFFFFF"/>
          <w:sz w:val="36"/>
          <w:szCs w:val="36"/>
        </w:rPr>
        <w:t xml:space="preserve">GHANA GOLD BOARD (GOLDBOD)</w:t>
      </w:r>
    </w:p>
    <w:p>
      <w:pPr>
        <w:spacing w:after="160" w:before="0"/>
        <w:jc w:val="center"/>
      </w:pPr>
      <w:r>
        <w:rPr>
          <w:rFonts w:ascii="Arial" w:cs="Arial" w:eastAsia="Arial" w:hAnsi="Arial"/>
          <w:b/>
          <w:bCs/>
          <w:color w:val="C8A200"/>
          <w:sz w:val="28"/>
          <w:szCs w:val="28"/>
        </w:rPr>
        <w:t xml:space="preserve">Traceability &amp; Assurance System (TAS)</w:t>
      </w:r>
    </w:p>
    <w:p>
      <w:pPr>
        <w:spacing w:after="80" w:before="0"/>
        <w:jc w:val="center"/>
      </w:pPr>
      <w:r>
        <w:rPr>
          <w:rFonts w:ascii="Arial" w:cs="Arial" w:eastAsia="Arial" w:hAnsi="Arial"/>
          <w:b/>
          <w:bCs/>
          <w:color w:val="1A2744"/>
          <w:sz w:val="22"/>
          <w:szCs w:val="22"/>
        </w:rPr>
        <w:t xml:space="preserve">INDICATIVE PROJECT BUDGET — EXPRESSION OF INTEREST</w:t>
      </w:r>
    </w:p>
    <w:p>
      <w:pPr>
        <w:spacing w:after="640" w:before="0"/>
        <w:jc w:val="center"/>
      </w:pPr>
      <w:r>
        <w:rPr>
          <w:rFonts w:ascii="Arial" w:cs="Arial" w:eastAsia="Arial" w:hAnsi="Arial"/>
          <w:color w:val="555568"/>
          <w:sz w:val="18"/>
          <w:szCs w:val="18"/>
        </w:rPr>
        <w:t xml:space="preserve">REF: GR/GGB/TS/NCT/042/2026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2C3E6B"/>
                <w:sz w:val="18"/>
                <w:szCs w:val="18"/>
              </w:rPr>
              <w:t xml:space="preserve">Contract Duration</w:t>
            </w:r>
          </w:p>
        </w:tc>
        <w:tc>
          <w:tcPr>
            <w:tcW w:type="dxa" w:w="63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18 Months (6 Months Implementation + 12 Months Stabilisation)</w:t>
            </w:r>
          </w:p>
        </w:tc>
      </w:tr>
      <w:tr>
        <w:tc>
          <w:tcPr>
            <w:tcW w:type="dxa" w:w="3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6B"/>
                <w:sz w:val="18"/>
                <w:szCs w:val="18"/>
              </w:rPr>
              <w:t xml:space="preserve">Procurement Method</w:t>
            </w:r>
          </w:p>
        </w:tc>
        <w:tc>
          <w:tcPr>
            <w:tcW w:type="dxa" w:w="63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Quality &amp; Cost Based Selection (QCBS)</w:t>
            </w:r>
          </w:p>
        </w:tc>
      </w:tr>
      <w:tr>
        <w:tc>
          <w:tcPr>
            <w:tcW w:type="dxa" w:w="3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2C3E6B"/>
                <w:sz w:val="18"/>
                <w:szCs w:val="18"/>
              </w:rPr>
              <w:t xml:space="preserve">Regulatory Framework</w:t>
            </w:r>
          </w:p>
        </w:tc>
        <w:tc>
          <w:tcPr>
            <w:tcW w:type="dxa" w:w="63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Public Procurement Act, 2003 (Act 663, as amended)</w:t>
            </w:r>
          </w:p>
        </w:tc>
      </w:tr>
      <w:tr>
        <w:tc>
          <w:tcPr>
            <w:tcW w:type="dxa" w:w="3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6B"/>
                <w:sz w:val="18"/>
                <w:szCs w:val="18"/>
              </w:rPr>
              <w:t xml:space="preserve">Primary Currency</w:t>
            </w:r>
          </w:p>
        </w:tc>
        <w:tc>
          <w:tcPr>
            <w:tcW w:type="dxa" w:w="63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USD — with GHS equivalent at 1 USD = 13 GHS (indicative, April 2026)</w:t>
            </w:r>
          </w:p>
        </w:tc>
      </w:tr>
      <w:tr>
        <w:tc>
          <w:tcPr>
            <w:tcW w:type="dxa" w:w="3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2C3E6B"/>
                <w:sz w:val="18"/>
                <w:szCs w:val="18"/>
              </w:rPr>
              <w:t xml:space="preserve">Total Project Budget</w:t>
            </w:r>
          </w:p>
        </w:tc>
        <w:tc>
          <w:tcPr>
            <w:tcW w:type="dxa" w:w="63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USD 11,325,000  |  GHS 147,225,000</w:t>
            </w:r>
          </w:p>
        </w:tc>
      </w:tr>
      <w:tr>
        <w:tc>
          <w:tcPr>
            <w:tcW w:type="dxa" w:w="3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6B"/>
                <w:sz w:val="18"/>
                <w:szCs w:val="18"/>
              </w:rPr>
              <w:t xml:space="preserve">Budget Date</w:t>
            </w:r>
          </w:p>
        </w:tc>
        <w:tc>
          <w:tcPr>
            <w:tcW w:type="dxa" w:w="63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April 2026</w:t>
            </w:r>
          </w:p>
        </w:tc>
      </w:tr>
      <w:tr>
        <w:tc>
          <w:tcPr>
            <w:tcW w:type="dxa" w:w="3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2C3E6B"/>
                <w:sz w:val="18"/>
                <w:szCs w:val="18"/>
              </w:rPr>
              <w:t xml:space="preserve">Contract Reference</w:t>
            </w:r>
          </w:p>
        </w:tc>
        <w:tc>
          <w:tcPr>
            <w:tcW w:type="dxa" w:w="63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GR/GGB/TS/NCT/042/2026</w:t>
            </w:r>
          </w:p>
        </w:tc>
      </w:tr>
    </w:tbl>
    <w:p>
      <w:r>
        <w:br w:type="page"/>
      </w:r>
    </w:p>
    <w:p>
      <w:pPr>
        <w:pStyle w:val="Heading1"/>
        <w:pBdr>
          <w:bottom w:val="single" w:color="C8A200" w:sz="8" w:space="4"/>
        </w:pBdr>
        <w:spacing w:after="160" w:before="360"/>
      </w:pPr>
      <w:r>
        <w:rPr>
          <w:rFonts w:ascii="Arial" w:cs="Arial" w:eastAsia="Arial" w:hAnsi="Arial"/>
          <w:b/>
          <w:bCs/>
          <w:color w:val="1A2744"/>
          <w:sz w:val="26"/>
          <w:szCs w:val="26"/>
        </w:rPr>
        <w:t xml:space="preserve">KEY ASSUMPTIONS &amp; CONSTRAINTS</w:t>
      </w:r>
    </w:p>
    <w:p>
      <w:pPr>
        <w:spacing w:after="100" w:before="60"/>
      </w:pPr>
      <w:r>
        <w:rPr>
          <w:rFonts w:ascii="Arial" w:cs="Arial" w:eastAsia="Arial" w:hAnsi="Arial"/>
          <w:color w:val="1A1A2E"/>
          <w:sz w:val="20"/>
          <w:szCs w:val="20"/>
        </w:rPr>
        <w:t xml:space="preserve">The following assumptions underpin all cost estimates within this budget. Any material deviation from these parameters — particularly the exchange rate, project scope, or statutory obligations — will require a formal change request and budget revision.</w:t>
      </w:r>
    </w:p>
    <w:p>
      <w:pPr>
        <w:spacing w:after="0" w:before="0"/>
      </w:pPr>
      <w:r>
        <w:t xml:space="preserve"/>
      </w:r>
    </w:p>
    <w:p>
      <w:pPr>
        <w:pStyle w:val="Heading2"/>
        <w:spacing w:after="120" w:before="240"/>
      </w:pPr>
      <w:r>
        <w:rPr>
          <w:rFonts w:ascii="Arial" w:cs="Arial" w:eastAsia="Arial" w:hAnsi="Arial"/>
          <w:b/>
          <w:bCs/>
          <w:color w:val="2C3E6B"/>
          <w:sz w:val="22"/>
          <w:szCs w:val="22"/>
        </w:rPr>
        <w:t xml:space="preserve">Financial &amp; Currency Assumptions</w:t>
      </w:r>
    </w:p>
    <w:p>
      <w:pPr>
        <w:pStyle w:val="ListParagraph"/>
        <w:numPr>
          <w:ilvl w:val="0"/>
          <w:numId w:val="2"/>
        </w:numPr>
        <w:spacing w:after="60" w:before="40"/>
      </w:pPr>
      <w:r>
        <w:rPr>
          <w:rFonts w:ascii="Arial" w:cs="Arial" w:eastAsia="Arial" w:hAnsi="Arial"/>
          <w:color w:val="1A1A2E"/>
          <w:sz w:val="20"/>
          <w:szCs w:val="20"/>
        </w:rPr>
        <w:t xml:space="preserve">Exchange Rate: 1 USD = 13 GHS (indicative as at April 2026). The rate will be locked at contract signing; all GHS figures herein are illustrative conversions.</w:t>
      </w:r>
    </w:p>
    <w:p>
      <w:pPr>
        <w:pStyle w:val="ListParagraph"/>
        <w:numPr>
          <w:ilvl w:val="0"/>
          <w:numId w:val="2"/>
        </w:numPr>
        <w:spacing w:after="60" w:before="40"/>
      </w:pPr>
      <w:r>
        <w:rPr>
          <w:rFonts w:ascii="Arial" w:cs="Arial" w:eastAsia="Arial" w:hAnsi="Arial"/>
          <w:color w:val="1A1A2E"/>
          <w:sz w:val="20"/>
          <w:szCs w:val="20"/>
        </w:rPr>
        <w:t xml:space="preserve">Exchange Rate Variance: A ±5% foreign exchange buffer is built into the contingency provision to cover GHS depreciation risk.</w:t>
      </w:r>
    </w:p>
    <w:p>
      <w:pPr>
        <w:pStyle w:val="ListParagraph"/>
        <w:numPr>
          <w:ilvl w:val="0"/>
          <w:numId w:val="2"/>
        </w:numPr>
        <w:spacing w:after="60" w:before="40"/>
      </w:pPr>
      <w:r>
        <w:rPr>
          <w:rFonts w:ascii="Arial" w:cs="Arial" w:eastAsia="Arial" w:hAnsi="Arial"/>
          <w:color w:val="1A1A2E"/>
          <w:sz w:val="20"/>
          <w:szCs w:val="20"/>
        </w:rPr>
        <w:t xml:space="preserve">Ghana Inflation: ~20% p.a. local inflation is assumed. An escalation clause will be negotiated for GHS-denominated costs beyond Month 6.</w:t>
      </w:r>
    </w:p>
    <w:p>
      <w:pPr>
        <w:pStyle w:val="ListParagraph"/>
        <w:numPr>
          <w:ilvl w:val="0"/>
          <w:numId w:val="2"/>
        </w:numPr>
        <w:spacing w:after="60" w:before="40"/>
      </w:pPr>
      <w:r>
        <w:rPr>
          <w:rFonts w:ascii="Arial" w:cs="Arial" w:eastAsia="Arial" w:hAnsi="Arial"/>
          <w:color w:val="1A1A2E"/>
          <w:sz w:val="20"/>
          <w:szCs w:val="20"/>
        </w:rPr>
        <w:t xml:space="preserve">Cloud Cost Inflation: ±5% year-on-year variance assumed; reserved instance pricing to be secured at contract commencement.</w:t>
      </w:r>
    </w:p>
    <w:p>
      <w:pPr>
        <w:pStyle w:val="ListParagraph"/>
        <w:numPr>
          <w:ilvl w:val="0"/>
          <w:numId w:val="2"/>
        </w:numPr>
        <w:spacing w:after="60" w:before="40"/>
      </w:pPr>
      <w:r>
        <w:rPr>
          <w:rFonts w:ascii="Arial" w:cs="Arial" w:eastAsia="Arial" w:hAnsi="Arial"/>
          <w:color w:val="1A1A2E"/>
          <w:sz w:val="20"/>
          <w:szCs w:val="20"/>
        </w:rPr>
        <w:t xml:space="preserve">All estimates are exclusive of VAT (15% applicable on locally procured goods and services) and statutory withholding tax on foreign service payments.</w:t>
      </w:r>
    </w:p>
    <w:p>
      <w:pPr>
        <w:pStyle w:val="ListParagraph"/>
        <w:numPr>
          <w:ilvl w:val="0"/>
          <w:numId w:val="2"/>
        </w:numPr>
        <w:spacing w:after="60" w:before="40"/>
      </w:pPr>
      <w:r>
        <w:rPr>
          <w:rFonts w:ascii="Arial" w:cs="Arial" w:eastAsia="Arial" w:hAnsi="Arial"/>
          <w:color w:val="1A1A2E"/>
          <w:sz w:val="20"/>
          <w:szCs w:val="20"/>
        </w:rPr>
        <w:t xml:space="preserve">Employer PAYE, SSNIT (13%) and Tier 2 Pension (5%) contributions on Ghanaian national salaries are included in personnel costs.</w:t>
      </w:r>
    </w:p>
    <w:p>
      <w:pPr>
        <w:pStyle w:val="ListParagraph"/>
        <w:numPr>
          <w:ilvl w:val="0"/>
          <w:numId w:val="2"/>
        </w:numPr>
        <w:spacing w:after="60" w:before="40"/>
      </w:pPr>
      <w:r>
        <w:rPr>
          <w:rFonts w:ascii="Arial" w:cs="Arial" w:eastAsia="Arial" w:hAnsi="Arial"/>
          <w:color w:val="1A1A2E"/>
          <w:sz w:val="20"/>
          <w:szCs w:val="20"/>
        </w:rPr>
        <w:t xml:space="preserve">A 10% performance bond/bank guarantee is required at contract signing.</w:t>
      </w:r>
    </w:p>
    <w:p>
      <w:pPr>
        <w:spacing w:after="0" w:before="0"/>
      </w:pPr>
      <w:r>
        <w:t xml:space="preserve"/>
      </w:r>
    </w:p>
    <w:p>
      <w:pPr>
        <w:pStyle w:val="Heading2"/>
        <w:spacing w:after="120" w:before="240"/>
      </w:pPr>
      <w:r>
        <w:rPr>
          <w:rFonts w:ascii="Arial" w:cs="Arial" w:eastAsia="Arial" w:hAnsi="Arial"/>
          <w:b/>
          <w:bCs/>
          <w:color w:val="2C3E6B"/>
          <w:sz w:val="22"/>
          <w:szCs w:val="22"/>
        </w:rPr>
        <w:t xml:space="preserve">Project &amp; Scope Assumptions</w:t>
      </w:r>
    </w:p>
    <w:p>
      <w:pPr>
        <w:pStyle w:val="ListParagraph"/>
        <w:numPr>
          <w:ilvl w:val="0"/>
          <w:numId w:val="2"/>
        </w:numPr>
        <w:spacing w:after="60" w:before="40"/>
      </w:pPr>
      <w:r>
        <w:rPr>
          <w:rFonts w:ascii="Arial" w:cs="Arial" w:eastAsia="Arial" w:hAnsi="Arial"/>
          <w:color w:val="1A1A2E"/>
          <w:sz w:val="20"/>
          <w:szCs w:val="20"/>
        </w:rPr>
        <w:t xml:space="preserve">Contract start is assumed Q2 2026; Phase 1 implementation begins within one week of contract signing.</w:t>
      </w:r>
    </w:p>
    <w:p>
      <w:pPr>
        <w:pStyle w:val="ListParagraph"/>
        <w:numPr>
          <w:ilvl w:val="0"/>
          <w:numId w:val="2"/>
        </w:numPr>
        <w:spacing w:after="60" w:before="40"/>
      </w:pPr>
      <w:r>
        <w:rPr>
          <w:rFonts w:ascii="Arial" w:cs="Arial" w:eastAsia="Arial" w:hAnsi="Arial"/>
          <w:color w:val="1A1A2E"/>
          <w:sz w:val="20"/>
          <w:szCs w:val="20"/>
        </w:rPr>
        <w:t xml:space="preserve">Total project duration is 18 months: 6 months of implementation followed by 12 months of stabilisation and support.</w:t>
      </w:r>
    </w:p>
    <w:p>
      <w:pPr>
        <w:pStyle w:val="ListParagraph"/>
        <w:numPr>
          <w:ilvl w:val="0"/>
          <w:numId w:val="2"/>
        </w:numPr>
        <w:spacing w:after="60" w:before="40"/>
      </w:pPr>
      <w:r>
        <w:rPr>
          <w:rFonts w:ascii="Arial" w:cs="Arial" w:eastAsia="Arial" w:hAnsi="Arial"/>
          <w:color w:val="1A1A2E"/>
          <w:sz w:val="20"/>
          <w:szCs w:val="20"/>
        </w:rPr>
        <w:t xml:space="preserve">No material scope changes are assumed. All change requests will be priced separately per an agreed change control schedule.</w:t>
      </w:r>
    </w:p>
    <w:p>
      <w:pPr>
        <w:pStyle w:val="ListParagraph"/>
        <w:numPr>
          <w:ilvl w:val="0"/>
          <w:numId w:val="2"/>
        </w:numPr>
        <w:spacing w:after="60" w:before="40"/>
      </w:pPr>
      <w:r>
        <w:rPr>
          <w:rFonts w:ascii="Arial" w:cs="Arial" w:eastAsia="Arial" w:hAnsi="Arial"/>
          <w:color w:val="1A1A2E"/>
          <w:sz w:val="20"/>
          <w:szCs w:val="20"/>
        </w:rPr>
        <w:t xml:space="preserve">GoldBod will facilitate introductions and system access to all six (6) government agency integration partners within Month 1.</w:t>
      </w:r>
    </w:p>
    <w:p>
      <w:pPr>
        <w:pStyle w:val="ListParagraph"/>
        <w:numPr>
          <w:ilvl w:val="0"/>
          <w:numId w:val="2"/>
        </w:numPr>
        <w:spacing w:after="60" w:before="40"/>
      </w:pPr>
      <w:r>
        <w:rPr>
          <w:rFonts w:ascii="Arial" w:cs="Arial" w:eastAsia="Arial" w:hAnsi="Arial"/>
          <w:color w:val="1A1A2E"/>
          <w:sz w:val="20"/>
          <w:szCs w:val="20"/>
        </w:rPr>
        <w:t xml:space="preserve">The NIA Ghana Card identity verification API will be available and accessible by contract start.</w:t>
      </w:r>
    </w:p>
    <w:p>
      <w:pPr>
        <w:pStyle w:val="ListParagraph"/>
        <w:numPr>
          <w:ilvl w:val="0"/>
          <w:numId w:val="2"/>
        </w:numPr>
        <w:spacing w:after="60" w:before="40"/>
      </w:pPr>
      <w:r>
        <w:rPr>
          <w:rFonts w:ascii="Arial" w:cs="Arial" w:eastAsia="Arial" w:hAnsi="Arial"/>
          <w:color w:val="1A1A2E"/>
          <w:sz w:val="20"/>
          <w:szCs w:val="20"/>
        </w:rPr>
        <w:t xml:space="preserve">A hybrid cloud architecture is assumed with primary data stored in a Ghana-based data centre, in compliance with the Data Protection Act 843.</w:t>
      </w:r>
    </w:p>
    <w:p>
      <w:pPr>
        <w:pStyle w:val="ListParagraph"/>
        <w:numPr>
          <w:ilvl w:val="0"/>
          <w:numId w:val="2"/>
        </w:numPr>
        <w:spacing w:after="60" w:before="40"/>
      </w:pPr>
      <w:r>
        <w:rPr>
          <w:rFonts w:ascii="Arial" w:cs="Arial" w:eastAsia="Arial" w:hAnsi="Arial"/>
          <w:color w:val="1A1A2E"/>
          <w:sz w:val="20"/>
          <w:szCs w:val="20"/>
        </w:rPr>
        <w:t xml:space="preserve">MTN / Vodafone 4G coverage is assumed at all operational sites; satellite fallback is provisioned for remote areas.</w:t>
      </w:r>
    </w:p>
    <w:p>
      <w:pPr>
        <w:pStyle w:val="ListParagraph"/>
        <w:numPr>
          <w:ilvl w:val="0"/>
          <w:numId w:val="2"/>
        </w:numPr>
        <w:spacing w:after="60" w:before="40"/>
      </w:pPr>
      <w:r>
        <w:rPr>
          <w:rFonts w:ascii="Arial" w:cs="Arial" w:eastAsia="Arial" w:hAnsi="Arial"/>
          <w:color w:val="1A1A2E"/>
          <w:sz w:val="20"/>
          <w:szCs w:val="20"/>
        </w:rPr>
        <w:t xml:space="preserve">Hardware import duties are estimated at 20% of CIF value; relief via a government waiver will be pursued where available.</w:t>
      </w:r>
    </w:p>
    <w:p>
      <w:pPr>
        <w:spacing w:after="0" w:before="0"/>
      </w:pPr>
      <w:r>
        <w:t xml:space="preserve"/>
      </w:r>
    </w:p>
    <w:p>
      <w:pPr>
        <w:pStyle w:val="Heading2"/>
        <w:spacing w:after="120" w:before="240"/>
      </w:pPr>
      <w:r>
        <w:rPr>
          <w:rFonts w:ascii="Arial" w:cs="Arial" w:eastAsia="Arial" w:hAnsi="Arial"/>
          <w:b/>
          <w:bCs/>
          <w:color w:val="2C3E6B"/>
          <w:sz w:val="22"/>
          <w:szCs w:val="22"/>
        </w:rPr>
        <w:t xml:space="preserve">Compliance &amp; Governance Assumptions</w:t>
      </w:r>
    </w:p>
    <w:p>
      <w:pPr>
        <w:pStyle w:val="ListParagraph"/>
        <w:numPr>
          <w:ilvl w:val="0"/>
          <w:numId w:val="2"/>
        </w:numPr>
        <w:spacing w:after="60" w:before="40"/>
      </w:pPr>
      <w:r>
        <w:rPr>
          <w:rFonts w:ascii="Arial" w:cs="Arial" w:eastAsia="Arial" w:hAnsi="Arial"/>
          <w:color w:val="1A1A2E"/>
          <w:sz w:val="20"/>
          <w:szCs w:val="20"/>
        </w:rPr>
        <w:t xml:space="preserve">A minimum of 60% Ghanaian personnel by headcount and 40% local sub-contracting spend is committed in line with local content policy.</w:t>
      </w:r>
    </w:p>
    <w:p>
      <w:pPr>
        <w:pStyle w:val="ListParagraph"/>
        <w:numPr>
          <w:ilvl w:val="0"/>
          <w:numId w:val="2"/>
        </w:numPr>
        <w:spacing w:after="60" w:before="40"/>
      </w:pPr>
      <w:r>
        <w:rPr>
          <w:rFonts w:ascii="Arial" w:cs="Arial" w:eastAsia="Arial" w:hAnsi="Arial"/>
          <w:color w:val="1A1A2E"/>
          <w:sz w:val="20"/>
          <w:szCs w:val="20"/>
        </w:rPr>
        <w:t xml:space="preserve">All procurement sub-thresholds comply with the Public Procurement Act, 2003 (Act 663, as amended).</w:t>
      </w:r>
    </w:p>
    <w:p>
      <w:pPr>
        <w:pStyle w:val="ListParagraph"/>
        <w:numPr>
          <w:ilvl w:val="0"/>
          <w:numId w:val="2"/>
        </w:numPr>
        <w:spacing w:after="60" w:before="40"/>
      </w:pPr>
      <w:r>
        <w:rPr>
          <w:rFonts w:ascii="Arial" w:cs="Arial" w:eastAsia="Arial" w:hAnsi="Arial"/>
          <w:color w:val="1A1A2E"/>
          <w:sz w:val="20"/>
          <w:szCs w:val="20"/>
        </w:rPr>
        <w:t xml:space="preserve">Milestone-based payment terms apply; invoices are to be settled within 30 days of milestone sign-off by GoldBod.</w:t>
      </w:r>
    </w:p>
    <w:p>
      <w:pPr>
        <w:pStyle w:val="ListParagraph"/>
        <w:numPr>
          <w:ilvl w:val="0"/>
          <w:numId w:val="2"/>
        </w:numPr>
        <w:spacing w:after="60" w:before="40"/>
      </w:pPr>
      <w:r>
        <w:rPr>
          <w:rFonts w:ascii="Arial" w:cs="Arial" w:eastAsia="Arial" w:hAnsi="Arial"/>
          <w:color w:val="1A1A2E"/>
          <w:sz w:val="20"/>
          <w:szCs w:val="20"/>
        </w:rPr>
        <w:t xml:space="preserve">Full source code, documentation, and intellectual property will be assigned to GoldBod upon receipt of final payment.</w:t>
      </w:r>
    </w:p>
    <w:p>
      <w:pPr>
        <w:pStyle w:val="ListParagraph"/>
        <w:numPr>
          <w:ilvl w:val="0"/>
          <w:numId w:val="2"/>
        </w:numPr>
        <w:spacing w:after="60" w:before="40"/>
      </w:pPr>
      <w:r>
        <w:rPr>
          <w:rFonts w:ascii="Arial" w:cs="Arial" w:eastAsia="Arial" w:hAnsi="Arial"/>
          <w:color w:val="1A1A2E"/>
          <w:sz w:val="20"/>
          <w:szCs w:val="20"/>
        </w:rPr>
        <w:t xml:space="preserve">A 12-month post-handover warranty commences at the conclusion of the stabilisation phase (Month 18).</w:t>
      </w:r>
    </w:p>
    <w:p>
      <w:r>
        <w:br w:type="page"/>
      </w:r>
    </w:p>
    <w:p>
      <w:pPr>
        <w:pStyle w:val="Heading1"/>
        <w:pBdr>
          <w:bottom w:val="single" w:color="C8A200" w:sz="8" w:space="4"/>
        </w:pBdr>
        <w:spacing w:after="160" w:before="360"/>
      </w:pPr>
      <w:r>
        <w:rPr>
          <w:rFonts w:ascii="Arial" w:cs="Arial" w:eastAsia="Arial" w:hAnsi="Arial"/>
          <w:b/>
          <w:bCs/>
          <w:color w:val="1A2744"/>
          <w:sz w:val="26"/>
          <w:szCs w:val="26"/>
        </w:rPr>
        <w:t xml:space="preserve">EXECUTIVE BUDGET SUMMARY</w:t>
      </w:r>
    </w:p>
    <w:p>
      <w:pPr>
        <w:spacing w:after="100" w:before="60"/>
      </w:pPr>
      <w:r>
        <w:rPr>
          <w:rFonts w:ascii="Arial" w:cs="Arial" w:eastAsia="Arial" w:hAnsi="Arial"/>
          <w:color w:val="1A1A2E"/>
          <w:sz w:val="20"/>
          <w:szCs w:val="20"/>
        </w:rPr>
        <w:t xml:space="preserve">The table below presents the consolidated budget across all 16 cost categories. The total project investment of USD 11,325,000 (GHS 147,225,000) covers the full 18-month engagement from design through to stabilisation and handover.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000"/>
        <w:gridCol w:w="1360"/>
      </w:tblGrid>
      <w:tr>
        <w:trPr>
          <w:tblHeader/>
        </w:trPr>
        <w:tc>
          <w:tcPr>
            <w:tcW w:type="dxa" w:w="40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Cost Category</w:t>
            </w:r>
          </w:p>
        </w:tc>
        <w:tc>
          <w:tcPr>
            <w:tcW w:type="dxa" w:w="20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USD Amount</w:t>
            </w:r>
          </w:p>
        </w:tc>
        <w:tc>
          <w:tcPr>
            <w:tcW w:type="dxa" w:w="20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GHS Amount</w:t>
            </w:r>
          </w:p>
        </w:tc>
        <w:tc>
          <w:tcPr>
            <w:tcW w:type="dxa" w:w="136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of Total</w:t>
            </w:r>
          </w:p>
        </w:tc>
      </w:tr>
      <w:tr>
        <w:tc>
          <w:tcPr>
            <w:tcW w:type="dxa" w:w="4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 Personnel &amp; HR Costs</w:t>
            </w:r>
          </w:p>
        </w:tc>
        <w:tc>
          <w:tcPr>
            <w:tcW w:type="dxa" w:w="2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$3,250,000</w:t>
            </w:r>
          </w:p>
        </w:tc>
        <w:tc>
          <w:tcPr>
            <w:tcW w:type="dxa" w:w="2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42,250,000</w:t>
            </w:r>
          </w:p>
        </w:tc>
        <w:tc>
          <w:tcPr>
            <w:tcW w:type="dxa" w:w="13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28.7%</w:t>
            </w:r>
          </w:p>
        </w:tc>
      </w:tr>
      <w:tr>
        <w:tc>
          <w:tcPr>
            <w:tcW w:type="dxa" w:w="4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 Software Development</w:t>
            </w:r>
          </w:p>
        </w:tc>
        <w:tc>
          <w:tcPr>
            <w:tcW w:type="dxa" w:w="2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$1,980,000</w:t>
            </w:r>
          </w:p>
        </w:tc>
        <w:tc>
          <w:tcPr>
            <w:tcW w:type="dxa" w:w="2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25,740,000</w:t>
            </w:r>
          </w:p>
        </w:tc>
        <w:tc>
          <w:tcPr>
            <w:tcW w:type="dxa" w:w="13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17.5%</w:t>
            </w:r>
          </w:p>
        </w:tc>
      </w:tr>
      <w:tr>
        <w:tc>
          <w:tcPr>
            <w:tcW w:type="dxa" w:w="4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 Blockchain Infrastructure</w:t>
            </w:r>
          </w:p>
        </w:tc>
        <w:tc>
          <w:tcPr>
            <w:tcW w:type="dxa" w:w="2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$820,000</w:t>
            </w:r>
          </w:p>
        </w:tc>
        <w:tc>
          <w:tcPr>
            <w:tcW w:type="dxa" w:w="2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10,660,000</w:t>
            </w:r>
          </w:p>
        </w:tc>
        <w:tc>
          <w:tcPr>
            <w:tcW w:type="dxa" w:w="13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7.2%</w:t>
            </w:r>
          </w:p>
        </w:tc>
      </w:tr>
      <w:tr>
        <w:tc>
          <w:tcPr>
            <w:tcW w:type="dxa" w:w="4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4. Cloud &amp; Hosting (18 months)</w:t>
            </w:r>
          </w:p>
        </w:tc>
        <w:tc>
          <w:tcPr>
            <w:tcW w:type="dxa" w:w="2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$540,000</w:t>
            </w:r>
          </w:p>
        </w:tc>
        <w:tc>
          <w:tcPr>
            <w:tcW w:type="dxa" w:w="2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7,020,000</w:t>
            </w:r>
          </w:p>
        </w:tc>
        <w:tc>
          <w:tcPr>
            <w:tcW w:type="dxa" w:w="13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4.8%</w:t>
            </w:r>
          </w:p>
        </w:tc>
      </w:tr>
      <w:tr>
        <w:tc>
          <w:tcPr>
            <w:tcW w:type="dxa" w:w="4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5. Software Licences &amp; Tools</w:t>
            </w:r>
          </w:p>
        </w:tc>
        <w:tc>
          <w:tcPr>
            <w:tcW w:type="dxa" w:w="2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$310,000</w:t>
            </w:r>
          </w:p>
        </w:tc>
        <w:tc>
          <w:tcPr>
            <w:tcW w:type="dxa" w:w="2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3,380,000</w:t>
            </w:r>
          </w:p>
        </w:tc>
        <w:tc>
          <w:tcPr>
            <w:tcW w:type="dxa" w:w="13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2.7%</w:t>
            </w:r>
          </w:p>
        </w:tc>
      </w:tr>
      <w:tr>
        <w:tc>
          <w:tcPr>
            <w:tcW w:type="dxa" w:w="4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6. Hardware &amp; Field Equipment</w:t>
            </w:r>
          </w:p>
        </w:tc>
        <w:tc>
          <w:tcPr>
            <w:tcW w:type="dxa" w:w="2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$680,000</w:t>
            </w:r>
          </w:p>
        </w:tc>
        <w:tc>
          <w:tcPr>
            <w:tcW w:type="dxa" w:w="2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8,840,000</w:t>
            </w:r>
          </w:p>
        </w:tc>
        <w:tc>
          <w:tcPr>
            <w:tcW w:type="dxa" w:w="13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6.0%</w:t>
            </w:r>
          </w:p>
        </w:tc>
      </w:tr>
      <w:tr>
        <w:tc>
          <w:tcPr>
            <w:tcW w:type="dxa" w:w="4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7. Systems Integration (6 Agencies)</w:t>
            </w:r>
          </w:p>
        </w:tc>
        <w:tc>
          <w:tcPr>
            <w:tcW w:type="dxa" w:w="2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$640,000</w:t>
            </w:r>
          </w:p>
        </w:tc>
        <w:tc>
          <w:tcPr>
            <w:tcW w:type="dxa" w:w="2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8,320,000</w:t>
            </w:r>
          </w:p>
        </w:tc>
        <w:tc>
          <w:tcPr>
            <w:tcW w:type="dxa" w:w="13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5.7%</w:t>
            </w:r>
          </w:p>
        </w:tc>
      </w:tr>
      <w:tr>
        <w:tc>
          <w:tcPr>
            <w:tcW w:type="dxa" w:w="4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8. Testing &amp; Quality Assurance</w:t>
            </w:r>
          </w:p>
        </w:tc>
        <w:tc>
          <w:tcPr>
            <w:tcW w:type="dxa" w:w="2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$290,000</w:t>
            </w:r>
          </w:p>
        </w:tc>
        <w:tc>
          <w:tcPr>
            <w:tcW w:type="dxa" w:w="2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4,495,000</w:t>
            </w:r>
          </w:p>
        </w:tc>
        <w:tc>
          <w:tcPr>
            <w:tcW w:type="dxa" w:w="13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2.6%</w:t>
            </w:r>
          </w:p>
        </w:tc>
      </w:tr>
      <w:tr>
        <w:tc>
          <w:tcPr>
            <w:tcW w:type="dxa" w:w="4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9. Training &amp; Capacity Building</w:t>
            </w:r>
          </w:p>
        </w:tc>
        <w:tc>
          <w:tcPr>
            <w:tcW w:type="dxa" w:w="2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$420,000</w:t>
            </w:r>
          </w:p>
        </w:tc>
        <w:tc>
          <w:tcPr>
            <w:tcW w:type="dxa" w:w="2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5,460,000</w:t>
            </w:r>
          </w:p>
        </w:tc>
        <w:tc>
          <w:tcPr>
            <w:tcW w:type="dxa" w:w="13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3.7%</w:t>
            </w:r>
          </w:p>
        </w:tc>
      </w:tr>
      <w:tr>
        <w:tc>
          <w:tcPr>
            <w:tcW w:type="dxa" w:w="4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10. Compliance &amp; Legal</w:t>
            </w:r>
          </w:p>
        </w:tc>
        <w:tc>
          <w:tcPr>
            <w:tcW w:type="dxa" w:w="2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$180,000</w:t>
            </w:r>
          </w:p>
        </w:tc>
        <w:tc>
          <w:tcPr>
            <w:tcW w:type="dxa" w:w="2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2,340,000</w:t>
            </w:r>
          </w:p>
        </w:tc>
        <w:tc>
          <w:tcPr>
            <w:tcW w:type="dxa" w:w="13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1.6%</w:t>
            </w:r>
          </w:p>
        </w:tc>
      </w:tr>
      <w:tr>
        <w:tc>
          <w:tcPr>
            <w:tcW w:type="dxa" w:w="4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11. Project Management &amp; PMO</w:t>
            </w:r>
          </w:p>
        </w:tc>
        <w:tc>
          <w:tcPr>
            <w:tcW w:type="dxa" w:w="2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$380,000</w:t>
            </w:r>
          </w:p>
        </w:tc>
        <w:tc>
          <w:tcPr>
            <w:tcW w:type="dxa" w:w="2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4,940,000</w:t>
            </w:r>
          </w:p>
        </w:tc>
        <w:tc>
          <w:tcPr>
            <w:tcW w:type="dxa" w:w="13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3.4%</w:t>
            </w:r>
          </w:p>
        </w:tc>
      </w:tr>
      <w:tr>
        <w:tc>
          <w:tcPr>
            <w:tcW w:type="dxa" w:w="4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12. Pilot Programme</w:t>
            </w:r>
          </w:p>
        </w:tc>
        <w:tc>
          <w:tcPr>
            <w:tcW w:type="dxa" w:w="2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$175,000</w:t>
            </w:r>
          </w:p>
        </w:tc>
        <w:tc>
          <w:tcPr>
            <w:tcW w:type="dxa" w:w="2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2,275,000</w:t>
            </w:r>
          </w:p>
        </w:tc>
        <w:tc>
          <w:tcPr>
            <w:tcW w:type="dxa" w:w="13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1.5%</w:t>
            </w:r>
          </w:p>
        </w:tc>
      </w:tr>
      <w:tr>
        <w:tc>
          <w:tcPr>
            <w:tcW w:type="dxa" w:w="4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13. National Deployment</w:t>
            </w:r>
          </w:p>
        </w:tc>
        <w:tc>
          <w:tcPr>
            <w:tcW w:type="dxa" w:w="2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$240,000</w:t>
            </w:r>
          </w:p>
        </w:tc>
        <w:tc>
          <w:tcPr>
            <w:tcW w:type="dxa" w:w="2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3,120,000</w:t>
            </w:r>
          </w:p>
        </w:tc>
        <w:tc>
          <w:tcPr>
            <w:tcW w:type="dxa" w:w="13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2.1%</w:t>
            </w:r>
          </w:p>
        </w:tc>
      </w:tr>
      <w:tr>
        <w:tc>
          <w:tcPr>
            <w:tcW w:type="dxa" w:w="4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14. Stabilisation &amp; Support (12 Mths)</w:t>
            </w:r>
          </w:p>
        </w:tc>
        <w:tc>
          <w:tcPr>
            <w:tcW w:type="dxa" w:w="2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$750,000</w:t>
            </w:r>
          </w:p>
        </w:tc>
        <w:tc>
          <w:tcPr>
            <w:tcW w:type="dxa" w:w="2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9,750,000</w:t>
            </w:r>
          </w:p>
        </w:tc>
        <w:tc>
          <w:tcPr>
            <w:tcW w:type="dxa" w:w="13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6.6%</w:t>
            </w:r>
          </w:p>
        </w:tc>
      </w:tr>
      <w:tr>
        <w:tc>
          <w:tcPr>
            <w:tcW w:type="dxa" w:w="4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15. Documentation &amp; Deliverables</w:t>
            </w:r>
          </w:p>
        </w:tc>
        <w:tc>
          <w:tcPr>
            <w:tcW w:type="dxa" w:w="2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$95,000</w:t>
            </w:r>
          </w:p>
        </w:tc>
        <w:tc>
          <w:tcPr>
            <w:tcW w:type="dxa" w:w="2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1,235,000</w:t>
            </w:r>
          </w:p>
        </w:tc>
        <w:tc>
          <w:tcPr>
            <w:tcW w:type="dxa" w:w="13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0.8%</w:t>
            </w:r>
          </w:p>
        </w:tc>
      </w:tr>
      <w:tr>
        <w:tc>
          <w:tcPr>
            <w:tcW w:type="dxa" w:w="4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16. Contingency (10%)</w:t>
            </w:r>
          </w:p>
        </w:tc>
        <w:tc>
          <w:tcPr>
            <w:tcW w:type="dxa" w:w="2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$575,000</w:t>
            </w:r>
          </w:p>
        </w:tc>
        <w:tc>
          <w:tcPr>
            <w:tcW w:type="dxa" w:w="2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7,475,000</w:t>
            </w:r>
          </w:p>
        </w:tc>
        <w:tc>
          <w:tcPr>
            <w:tcW w:type="dxa" w:w="13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5.1%</w:t>
            </w:r>
          </w:p>
        </w:tc>
      </w:tr>
      <w:tr>
        <w:tc>
          <w:tcPr>
            <w:tcW w:type="dxa" w:w="4000"/>
            <w:tcBorders>
              <w:top w:val="single" w:color="D5D9E0" w:sz="4"/>
              <w:left w:val="single" w:color="D5D9E0" w:sz="4"/>
              <w:bottom w:val="single" w:color="D5D9E0" w:sz="4"/>
              <w:right w:val="single" w:color="D5D9E0" w:sz="4"/>
            </w:tcBorders>
            <w:shd w:fill="1A274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PROJECT BUDGET</w:t>
            </w:r>
          </w:p>
        </w:tc>
        <w:tc>
          <w:tcPr>
            <w:tcW w:type="dxa" w:w="2000"/>
            <w:tcBorders>
              <w:top w:val="single" w:color="D5D9E0" w:sz="4"/>
              <w:left w:val="single" w:color="D5D9E0" w:sz="4"/>
              <w:bottom w:val="single" w:color="D5D9E0" w:sz="4"/>
              <w:right w:val="single" w:color="D5D9E0" w:sz="4"/>
            </w:tcBorders>
            <w:shd w:fill="1A2744" w:val="clear"/>
            <w:tcMar>
              <w:top w:type="dxa" w:w="80"/>
              <w:left w:type="dxa" w:w="120"/>
              <w:bottom w:type="dxa" w:w="80"/>
              <w:right w:type="dxa" w:w="120"/>
            </w:tcMar>
            <w:vAlign w:val="center"/>
          </w:tcPr>
          <w:p>
            <w:pPr>
              <w:jc w:val="right"/>
            </w:pPr>
            <w:r>
              <w:rPr>
                <w:rFonts w:ascii="Arial" w:cs="Arial" w:eastAsia="Arial" w:hAnsi="Arial"/>
                <w:b/>
                <w:bCs/>
                <w:color w:val="C8A200"/>
                <w:sz w:val="18"/>
                <w:szCs w:val="18"/>
              </w:rPr>
              <w:t xml:space="preserve">USD 11,325,000</w:t>
            </w:r>
          </w:p>
        </w:tc>
        <w:tc>
          <w:tcPr>
            <w:tcW w:type="dxa" w:w="2000"/>
            <w:tcBorders>
              <w:top w:val="single" w:color="D5D9E0" w:sz="4"/>
              <w:left w:val="single" w:color="D5D9E0" w:sz="4"/>
              <w:bottom w:val="single" w:color="D5D9E0" w:sz="4"/>
              <w:right w:val="single" w:color="D5D9E0" w:sz="4"/>
            </w:tcBorders>
            <w:shd w:fill="1A2744" w:val="clear"/>
            <w:tcMar>
              <w:top w:type="dxa" w:w="80"/>
              <w:left w:type="dxa" w:w="120"/>
              <w:bottom w:type="dxa" w:w="80"/>
              <w:right w:type="dxa" w:w="120"/>
            </w:tcMar>
            <w:vAlign w:val="center"/>
          </w:tcPr>
          <w:p>
            <w:pPr>
              <w:jc w:val="right"/>
            </w:pPr>
            <w:r>
              <w:rPr>
                <w:rFonts w:ascii="Arial" w:cs="Arial" w:eastAsia="Arial" w:hAnsi="Arial"/>
                <w:b/>
                <w:bCs/>
                <w:color w:val="C8A200"/>
                <w:sz w:val="18"/>
                <w:szCs w:val="18"/>
              </w:rPr>
              <w:t xml:space="preserve">GHS 147,225,000</w:t>
            </w:r>
          </w:p>
        </w:tc>
        <w:tc>
          <w:tcPr>
            <w:tcW w:type="dxa" w:w="1360"/>
            <w:tcBorders>
              <w:top w:val="single" w:color="D5D9E0" w:sz="4"/>
              <w:left w:val="single" w:color="D5D9E0" w:sz="4"/>
              <w:bottom w:val="single" w:color="D5D9E0" w:sz="4"/>
              <w:right w:val="single" w:color="D5D9E0" w:sz="4"/>
            </w:tcBorders>
            <w:shd w:fill="1A2744"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100.0%</w:t>
            </w:r>
          </w:p>
        </w:tc>
      </w:tr>
    </w:tbl>
    <w:p>
      <w:r>
        <w:br w:type="page"/>
      </w:r>
    </w:p>
    <w:p>
      <w:pPr>
        <w:pStyle w:val="Heading1"/>
        <w:pBdr>
          <w:bottom w:val="single" w:color="C8A200" w:sz="8" w:space="4"/>
        </w:pBdr>
        <w:spacing w:after="160" w:before="360"/>
      </w:pPr>
      <w:r>
        <w:rPr>
          <w:rFonts w:ascii="Arial" w:cs="Arial" w:eastAsia="Arial" w:hAnsi="Arial"/>
          <w:b/>
          <w:bCs/>
          <w:color w:val="1A2744"/>
          <w:sz w:val="26"/>
          <w:szCs w:val="26"/>
        </w:rPr>
        <w:t xml:space="preserve">DETAILED BUDGET BREAKDOWN</w:t>
      </w:r>
    </w:p>
    <w:p>
      <w:pPr>
        <w:pStyle w:val="Heading2"/>
        <w:spacing w:after="120" w:before="240"/>
      </w:pPr>
      <w:r>
        <w:rPr>
          <w:rFonts w:ascii="Arial" w:cs="Arial" w:eastAsia="Arial" w:hAnsi="Arial"/>
          <w:b/>
          <w:bCs/>
          <w:color w:val="2C3E6B"/>
          <w:sz w:val="22"/>
          <w:szCs w:val="22"/>
        </w:rPr>
        <w:t xml:space="preserve">1. System Design &amp; Architecture</w:t>
      </w:r>
    </w:p>
    <w:p>
      <w:pPr>
        <w:spacing w:after="100" w:before="60"/>
      </w:pPr>
      <w:r>
        <w:rPr>
          <w:rFonts w:ascii="Arial" w:cs="Arial" w:eastAsia="Arial" w:hAnsi="Arial"/>
          <w:color w:val="1A1A2E"/>
          <w:sz w:val="20"/>
          <w:szCs w:val="20"/>
        </w:rPr>
        <w:t xml:space="preserve">The design and architecture phase establishes the full technical blueprint for the TAS. This includes end-to-end blockchain architecture (Hyperledger Fabric), AI analytics engine design, security threat modelling, and comprehensive stakeholder consultation. Robust upfront design is critical to containing downstream development costs and rework.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1200"/>
        <w:gridCol w:w="1160"/>
      </w:tblGrid>
      <w:tr>
        <w:trPr>
          <w:tblHeader/>
        </w:trPr>
        <w:tc>
          <w:tcPr>
            <w:tcW w:type="dxa" w:w="3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Item / Deliverable</w:t>
            </w:r>
          </w:p>
        </w:tc>
        <w:tc>
          <w:tcPr>
            <w:tcW w:type="dxa" w:w="3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USD</w:t>
            </w:r>
          </w:p>
        </w:tc>
        <w:tc>
          <w:tcPr>
            <w:tcW w:type="dxa" w:w="116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GHS</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Requirements Analysis &amp; Stakeholder Consultations</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Workshops, field assessments, facilitated requirements sessions across all user groups and regulatory bodies</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$275,000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3,575,000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System Architecture Design &amp; Technical Blueprint</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End-to-end TAS architecture (Blockchain + AI analytics + mobile + API layers)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$85,000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1,105,000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Blockchain Network Architecture Specification</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Hyperledger Fabric permissioned network design, node topology, consensus configuration</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$55,000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715,000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UX Research &amp; Wireframing (All User Roles)</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Web and mobile interface design across 8 defined user roles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$45,000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585,000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Data Model &amp; Database Schema Design</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Relational and on-chain data model design</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$25,000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325,000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Security Architecture &amp; Threat Modelling</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Cybersecurity framework, threat model, penetration test plan</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$35,000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455,000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Integration Architecture &amp; API Design (6 Agencies)</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API specification for all 6 government agency integrations</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$40,000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520,000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2744"/>
                <w:sz w:val="18"/>
                <w:szCs w:val="18"/>
              </w:rPr>
              <w:t xml:space="preserve">Sub-Total</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$560,000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GHS 7,280,000</w:t>
            </w:r>
          </w:p>
        </w:tc>
      </w:tr>
    </w:tbl>
    <w:p>
      <w:pPr>
        <w:spacing w:after="0" w:before="0"/>
      </w:pPr>
      <w:r>
        <w:t xml:space="preserve"/>
      </w:r>
    </w:p>
    <w:p>
      <w:pPr>
        <w:pStyle w:val="Heading2"/>
        <w:spacing w:after="120" w:before="240"/>
      </w:pPr>
      <w:r>
        <w:rPr>
          <w:rFonts w:ascii="Arial" w:cs="Arial" w:eastAsia="Arial" w:hAnsi="Arial"/>
          <w:b/>
          <w:bCs/>
          <w:color w:val="2C3E6B"/>
          <w:sz w:val="22"/>
          <w:szCs w:val="22"/>
        </w:rPr>
        <w:t xml:space="preserve">2. Software Development</w:t>
      </w:r>
    </w:p>
    <w:p>
      <w:pPr>
        <w:spacing w:after="100" w:before="60"/>
      </w:pPr>
      <w:r>
        <w:rPr>
          <w:rFonts w:ascii="Arial" w:cs="Arial" w:eastAsia="Arial" w:hAnsi="Arial"/>
          <w:color w:val="1A1A2E"/>
          <w:sz w:val="20"/>
          <w:szCs w:val="20"/>
        </w:rPr>
        <w:t xml:space="preserve">Software development constitutes the largest single investment category, reflecting the complexity of a multi-phase, enterprise-grade blockchain platform. Development is structured across six phases — from core platform build through to national go-live — with ongoing stabilisation sprints over the 12-month support period.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1200"/>
        <w:gridCol w:w="1160"/>
      </w:tblGrid>
      <w:tr>
        <w:trPr>
          <w:tblHeader/>
        </w:trPr>
        <w:tc>
          <w:tcPr>
            <w:tcW w:type="dxa" w:w="3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Item / Deliverable</w:t>
            </w:r>
          </w:p>
        </w:tc>
        <w:tc>
          <w:tcPr>
            <w:tcW w:type="dxa" w:w="3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USD</w:t>
            </w:r>
          </w:p>
        </w:tc>
        <w:tc>
          <w:tcPr>
            <w:tcW w:type="dxa" w:w="116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GHS</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Core Backend API Development (Node.js / Python)</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RESTful and GraphQL APIs powering all platform modules</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$150,000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1,950,000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Blockchain Network Setup — Hyperledger Fabric</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Permissioned network configuration, smart contract deployment, chaincode development &amp; auditing</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$215,000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2,795,000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Supply Chain, Chain-of-Custody &amp; Provenance Modules</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Core gold traceability ledger modules including assay recording and digital certificate generation</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$140,000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1,820,000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KYC / AML Module</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Identity verification, compliance checks, Ghana Card API integration</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$70,000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910,000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Mobile Applications (Android &amp; iOS)</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Field officer and miner apps with offline mode, GPS, QR/NFC/RFID scanner and digital signature</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$265,000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3,445,000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Admin Dashboard, Analytics Portal &amp; BI Reporting</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Web-based management portal and OECD/LBMA/FIC-compliant reporting module</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$135,000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1,755,000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DevOps, CI/CD &amp; Infrastructure-as-Code</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Kubernetes/Docker container orchestration, automated deployment and monitoring</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$143,000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1,859,000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Pilot &amp; National Rollout Development</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Site-specific configuration, data migration, go-live support and hotfix sprints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$205,000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2,665,000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Stabilisation &amp; Ongoing Development (Months 7–18)</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Quarterly feature enhancement sprints, patch management, regulatory updates</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$180,000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2,340,000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2744"/>
                <w:sz w:val="18"/>
                <w:szCs w:val="18"/>
              </w:rPr>
              <w:t xml:space="preserve">Sub-Total</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$1,503,000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GHS 19,539,000</w:t>
            </w:r>
          </w:p>
        </w:tc>
      </w:tr>
    </w:tbl>
    <w:p>
      <w:pPr>
        <w:spacing w:after="0" w:before="0"/>
      </w:pPr>
      <w:r>
        <w:t xml:space="preserve"/>
      </w:r>
    </w:p>
    <w:p>
      <w:pPr>
        <w:pStyle w:val="Heading2"/>
        <w:spacing w:after="120" w:before="240"/>
      </w:pPr>
      <w:r>
        <w:rPr>
          <w:rFonts w:ascii="Arial" w:cs="Arial" w:eastAsia="Arial" w:hAnsi="Arial"/>
          <w:b/>
          <w:bCs/>
          <w:color w:val="2C3E6B"/>
          <w:sz w:val="22"/>
          <w:szCs w:val="22"/>
        </w:rPr>
        <w:t xml:space="preserve">3. Infrastructure, Cloud &amp; Licences</w:t>
      </w:r>
    </w:p>
    <w:p>
      <w:pPr>
        <w:spacing w:after="100" w:before="60"/>
      </w:pPr>
      <w:r>
        <w:rPr>
          <w:rFonts w:ascii="Arial" w:cs="Arial" w:eastAsia="Arial" w:hAnsi="Arial"/>
          <w:color w:val="1A1A2E"/>
          <w:sz w:val="20"/>
          <w:szCs w:val="20"/>
        </w:rPr>
        <w:t xml:space="preserve">Infrastructure costs cover cloud hosting (primary Ghana-based data centre plus disaster recovery), blockchain node infrastructure, cybersecurity tooling, and all required software licences for the 18-month engagement. Reserved instance pricing will be secured at contract commencement to control year-on-year cost escalation.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1200"/>
        <w:gridCol w:w="1160"/>
      </w:tblGrid>
      <w:tr>
        <w:trPr>
          <w:tblHeader/>
        </w:trPr>
        <w:tc>
          <w:tcPr>
            <w:tcW w:type="dxa" w:w="3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Item / Deliverable</w:t>
            </w:r>
          </w:p>
        </w:tc>
        <w:tc>
          <w:tcPr>
            <w:tcW w:type="dxa" w:w="3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USD</w:t>
            </w:r>
          </w:p>
        </w:tc>
        <w:tc>
          <w:tcPr>
            <w:tcW w:type="dxa" w:w="116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GHS</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Hyperledger Fabric Platform Support &amp; SLA</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Enterprise SLA and professional support for the blockchain network</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$270,000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3,510,000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Cloud Hosting — Primary &amp; DR (Ghana-based)</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Compute, storage and networking across production, UAT and staging environments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$180,000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2,340,000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Cloud Hosting — Disaster Recovery (International CDN)</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Geo-redundant failover and content delivery infrastructure</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$90,000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1,170,000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Cybersecurity Infrastructure</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Firewalls, intrusion detection, SIEM, encryption tooling and monitoring</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$100,000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1,300,000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Software Licences (Dev Tools, Analytics, BI, LMS)</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 third-party software licences required for the 18-month project</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$310,000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3,380,000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Domain, SSL Certificates &amp; API Gateway</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Domain registration, wildcard SSL, API management gateway</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390,000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2744"/>
                <w:sz w:val="18"/>
                <w:szCs w:val="18"/>
              </w:rPr>
              <w:t xml:space="preserve">Sub-Total</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$980,000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GHS 12,740,000</w:t>
            </w:r>
          </w:p>
        </w:tc>
      </w:tr>
    </w:tbl>
    <w:p>
      <w:pPr>
        <w:spacing w:after="0" w:before="0"/>
      </w:pPr>
      <w:r>
        <w:t xml:space="preserve"/>
      </w:r>
    </w:p>
    <w:p>
      <w:pPr>
        <w:pStyle w:val="Heading2"/>
        <w:spacing w:after="120" w:before="240"/>
      </w:pPr>
      <w:r>
        <w:rPr>
          <w:rFonts w:ascii="Arial" w:cs="Arial" w:eastAsia="Arial" w:hAnsi="Arial"/>
          <w:b/>
          <w:bCs/>
          <w:color w:val="2C3E6B"/>
          <w:sz w:val="22"/>
          <w:szCs w:val="22"/>
        </w:rPr>
        <w:t xml:space="preserve">4. Hardware &amp; Field Equipment</w:t>
      </w:r>
    </w:p>
    <w:p>
      <w:pPr>
        <w:spacing w:after="100" w:before="60"/>
      </w:pPr>
      <w:r>
        <w:rPr>
          <w:rFonts w:ascii="Arial" w:cs="Arial" w:eastAsia="Arial" w:hAnsi="Arial"/>
          <w:color w:val="1A1A2E"/>
          <w:sz w:val="20"/>
          <w:szCs w:val="20"/>
        </w:rPr>
        <w:t xml:space="preserve">Hardware procurement covers rugged field devices for ASM mine-site officers, IoT tracking sensors for gold parcels, assay and weight-recording equipment, and enterprise hardware for GoldBod regional offices. Import duties (~20% CIF) are included; relief via government waiver will be pursued.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1200"/>
        <w:gridCol w:w="1160"/>
      </w:tblGrid>
      <w:tr>
        <w:trPr>
          <w:tblHeader/>
        </w:trPr>
        <w:tc>
          <w:tcPr>
            <w:tcW w:type="dxa" w:w="3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Item / Deliverable</w:t>
            </w:r>
          </w:p>
        </w:tc>
        <w:tc>
          <w:tcPr>
            <w:tcW w:type="dxa" w:w="3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USD</w:t>
            </w:r>
          </w:p>
        </w:tc>
        <w:tc>
          <w:tcPr>
            <w:tcW w:type="dxa" w:w="116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GHS</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Rugged Android Smartphones for Field Officers (×120)</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IP-rated field devices with pre-loaded TAS mobile app</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$42,000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546,000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Tablets for Regional Office Supervisors (×40)</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Enterprise-grade tablets for supervisory dashboards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$28,000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364,000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Laptop / Desktop Workstations for GoldBod Offices (×30)</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Office-grade workstations for back-office staff</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$45,000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585,000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IoT Sensors &amp; Gold Tracking Devices</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NFC/RFID tags and IoT sensors for gold parcel tracking</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$250,000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3,250,000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Assay &amp; Weight Recording Equipment</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Calibrated scales, portable assay kits and data-capture peripherals</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$85,000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1,105,000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Network &amp; Connectivity Equipment (Field Sites)</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Routers, switches and satellite uplink devices for remote sites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$80,000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1,040,000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Server Hardware (On-Premise Backup — GoldBod HQ)</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On-premise server for local redundancy and offline resilience</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$70,000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910,000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Hardware Import Duties &amp; Logistics</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Estimated 20% import duty on CIF value plus inland logistics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$80,000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1,040,000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2744"/>
                <w:sz w:val="18"/>
                <w:szCs w:val="18"/>
              </w:rPr>
              <w:t xml:space="preserve">Sub-Total</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$680,000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GHS 8,840,000</w:t>
            </w:r>
          </w:p>
        </w:tc>
      </w:tr>
    </w:tbl>
    <w:p>
      <w:pPr>
        <w:spacing w:after="0" w:before="0"/>
      </w:pPr>
      <w:r>
        <w:t xml:space="preserve"/>
      </w:r>
    </w:p>
    <w:p>
      <w:pPr>
        <w:pStyle w:val="Heading2"/>
        <w:spacing w:after="120" w:before="240"/>
      </w:pPr>
      <w:r>
        <w:rPr>
          <w:rFonts w:ascii="Arial" w:cs="Arial" w:eastAsia="Arial" w:hAnsi="Arial"/>
          <w:b/>
          <w:bCs/>
          <w:color w:val="2C3E6B"/>
          <w:sz w:val="22"/>
          <w:szCs w:val="22"/>
        </w:rPr>
        <w:t xml:space="preserve">5. Systems Integration</w:t>
      </w:r>
    </w:p>
    <w:p>
      <w:pPr>
        <w:spacing w:after="100" w:before="60"/>
      </w:pPr>
      <w:r>
        <w:rPr>
          <w:rFonts w:ascii="Arial" w:cs="Arial" w:eastAsia="Arial" w:hAnsi="Arial"/>
          <w:color w:val="1A1A2E"/>
          <w:sz w:val="20"/>
          <w:szCs w:val="20"/>
        </w:rPr>
        <w:t xml:space="preserve">The TAS must integrate with six government agencies to deliver a fully verified chain-of-custody. Integration costs cover API development, testing, data-exchange agreements and the ongoing maintenance of each agency connection. GoldBod will facilitate formal introductions and system access within Month 1.</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1200"/>
        <w:gridCol w:w="1160"/>
      </w:tblGrid>
      <w:tr>
        <w:trPr>
          <w:tblHeader/>
        </w:trPr>
        <w:tc>
          <w:tcPr>
            <w:tcW w:type="dxa" w:w="3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Item / Deliverable</w:t>
            </w:r>
          </w:p>
        </w:tc>
        <w:tc>
          <w:tcPr>
            <w:tcW w:type="dxa" w:w="3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USD</w:t>
            </w:r>
          </w:p>
        </w:tc>
        <w:tc>
          <w:tcPr>
            <w:tcW w:type="dxa" w:w="116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GHS</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Minerals Commission — Licensing &amp; Cadastre API</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Real-time licence verification and mining cadastre data exchange</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$45,000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585,000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Ghana Revenue Authority — Customs Export Verification</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Automated export certification and tax compliance validation</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520,000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Bank of Ghana — Gold Purchase &amp; FX Declaration</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Integration with BoG gold purchasing window and FX reporting</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$50,000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650,000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Financial Intelligence Centre — AML/CFT Reporting</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Automated STR/CTR submission and beneficial ownership data exchange</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$55,000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715,000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Environmental Protection Agency — Compliance Module</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Mine site environmental certification and permit verification</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$35,000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455,000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NIA — Ghana Card Identity Verification API</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KYC identity verification for all registered supply chain participants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520,000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Integration Testing &amp; UAT (All Agencies)</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End-to-end integration testing, agency UAT support and sign-off</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$75,000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975,000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Ongoing API Maintenance (Months 7–18)</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API version management, agency system updates and change coordination</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$60,000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780,000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2744"/>
                <w:sz w:val="18"/>
                <w:szCs w:val="18"/>
              </w:rPr>
              <w:t xml:space="preserve">Sub-Total</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$400,000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GHS 5,200,000</w:t>
            </w:r>
          </w:p>
        </w:tc>
      </w:tr>
    </w:tbl>
    <w:p>
      <w:pPr>
        <w:spacing w:after="0" w:before="0"/>
      </w:pPr>
      <w:r>
        <w:t xml:space="preserve"/>
      </w:r>
    </w:p>
    <w:p>
      <w:pPr>
        <w:pStyle w:val="Heading2"/>
        <w:spacing w:after="120" w:before="240"/>
      </w:pPr>
      <w:r>
        <w:rPr>
          <w:rFonts w:ascii="Arial" w:cs="Arial" w:eastAsia="Arial" w:hAnsi="Arial"/>
          <w:b/>
          <w:bCs/>
          <w:color w:val="2C3E6B"/>
          <w:sz w:val="22"/>
          <w:szCs w:val="22"/>
        </w:rPr>
        <w:t xml:space="preserve">6. Testing &amp; Quality Assurance</w:t>
      </w:r>
    </w:p>
    <w:p>
      <w:pPr>
        <w:spacing w:after="100" w:before="60"/>
      </w:pPr>
      <w:r>
        <w:rPr>
          <w:rFonts w:ascii="Arial" w:cs="Arial" w:eastAsia="Arial" w:hAnsi="Arial"/>
          <w:color w:val="1A1A2E"/>
          <w:sz w:val="20"/>
          <w:szCs w:val="20"/>
        </w:rPr>
        <w:t xml:space="preserve">A dedicated QA workstream ensures the platform meets GoldBod's security, performance and regulatory requirements before go-live. This includes functional testing, security audits, independent penetration testing, user acceptance testing (UAT) with all six agencies, and load testing at full national rollout scale.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1200"/>
        <w:gridCol w:w="1160"/>
      </w:tblGrid>
      <w:tr>
        <w:trPr>
          <w:tblHeader/>
        </w:trPr>
        <w:tc>
          <w:tcPr>
            <w:tcW w:type="dxa" w:w="3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Item / Deliverable</w:t>
            </w:r>
          </w:p>
        </w:tc>
        <w:tc>
          <w:tcPr>
            <w:tcW w:type="dxa" w:w="3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USD</w:t>
            </w:r>
          </w:p>
        </w:tc>
        <w:tc>
          <w:tcPr>
            <w:tcW w:type="dxa" w:w="116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GHS</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Test Environment Hosting — UAT + Staging (6 months)</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Dedicated cloud environments for QA and UAT activities</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$30,000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390,000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Functional &amp; Regression Testing (All Modules)</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Structured test plans and execution across all platform modules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$60,000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780,000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Security Penetration Testing (3 rounds)</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Independent pen-test at Phase 2, Pilot, and Pre-Go-Live</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$40,000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520,000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Performance &amp; Load Testing</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Load simulation at 1,800+ concurrent ASM operations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$25,000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325,000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User Acceptance Testing (6 Agency Partners)</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Facilitated UAT sessions with all government integration partners</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$45,000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585,000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Defect Management &amp; Bug Fix Tracking</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Defect tracking platform, triage and resolution SLAs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260,000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Test Automation Framework</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Automated regression test suite for CI/CD pipeline</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$35,000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455,000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VAPT Report &amp; Remediation</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Vulnerability assessment and penetration test remediation cycle</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$35,000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455,000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2744"/>
                <w:sz w:val="18"/>
                <w:szCs w:val="18"/>
              </w:rPr>
              <w:t xml:space="preserve">Sub-Total</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$290,000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GHS 4,495,000</w:t>
            </w:r>
          </w:p>
        </w:tc>
      </w:tr>
    </w:tbl>
    <w:p>
      <w:pPr>
        <w:spacing w:after="0" w:before="0"/>
      </w:pPr>
      <w:r>
        <w:t xml:space="preserve"/>
      </w:r>
    </w:p>
    <w:p>
      <w:pPr>
        <w:pStyle w:val="Heading2"/>
        <w:spacing w:after="120" w:before="240"/>
      </w:pPr>
      <w:r>
        <w:rPr>
          <w:rFonts w:ascii="Arial" w:cs="Arial" w:eastAsia="Arial" w:hAnsi="Arial"/>
          <w:b/>
          <w:bCs/>
          <w:color w:val="2C3E6B"/>
          <w:sz w:val="22"/>
          <w:szCs w:val="22"/>
        </w:rPr>
        <w:t xml:space="preserve">7. Training &amp; Capacity Building</w:t>
      </w:r>
    </w:p>
    <w:p>
      <w:pPr>
        <w:spacing w:after="100" w:before="60"/>
      </w:pPr>
      <w:r>
        <w:rPr>
          <w:rFonts w:ascii="Arial" w:cs="Arial" w:eastAsia="Arial" w:hAnsi="Arial"/>
          <w:color w:val="1A1A2E"/>
          <w:sz w:val="20"/>
          <w:szCs w:val="20"/>
        </w:rPr>
        <w:t xml:space="preserve">A structured training programme ensures all user groups — from GoldBod officials and field officers to regulators and mining company personnel — are equipped to operate the TAS confidently. A train-the-trainer model is employed to maximise national rollout efficiency and transfer sustainable capability to GoldBod.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1200"/>
        <w:gridCol w:w="1160"/>
      </w:tblGrid>
      <w:tr>
        <w:trPr>
          <w:tblHeader/>
        </w:trPr>
        <w:tc>
          <w:tcPr>
            <w:tcW w:type="dxa" w:w="3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Item / Deliverable</w:t>
            </w:r>
          </w:p>
        </w:tc>
        <w:tc>
          <w:tcPr>
            <w:tcW w:type="dxa" w:w="3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USD</w:t>
            </w:r>
          </w:p>
        </w:tc>
        <w:tc>
          <w:tcPr>
            <w:tcW w:type="dxa" w:w="116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GHS</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Training Needs Assessment &amp; Skills Gap Analysis</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Baseline assessment across all 8 user roles</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$12,000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156,000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Curriculum Design &amp; Training Materials (All Roles)</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Comprehensive course materials, facilitator guides and assessments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390,000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E-Learning / LMS Development &amp; Content</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Online self-paced modules hosted on a GoldBod-branded LMS</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$35,000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455,000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Train-the-Trainer Programme (Regional Leads)</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Intensive training for 30 regional training facilitators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520,000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Technical Training — GoldBod IT &amp; Admin Staff</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System administration, data management and platform governance</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$30,000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390,000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Regulator &amp; Government Agency Training (6 Agencies)</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Agency-specific workshops and user acceptance briefings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$45,000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585,000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Field Officer Training (National Rollout)</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Cascaded field training across approximately 1,800 ASM sites</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$80,000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1,040,000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Mining Company &amp; Exporter Training</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Platform orientation for large-scale mines and gold export companies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520,000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Post-Go-Live Refresher &amp; Help Desk Knowledge Base</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Refresher sessions and self-service knowledge base content</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$20,000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260,000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Training Evaluation &amp; Competency Assessment</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Post-training assessment and competency certification</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$13,000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169,000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2744"/>
                <w:sz w:val="18"/>
                <w:szCs w:val="18"/>
              </w:rPr>
              <w:t xml:space="preserve">Sub-Total</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$345,000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GHS 4,485,000</w:t>
            </w:r>
          </w:p>
        </w:tc>
      </w:tr>
    </w:tbl>
    <w:p>
      <w:pPr>
        <w:spacing w:after="0" w:before="0"/>
      </w:pPr>
      <w:r>
        <w:t xml:space="preserve"/>
      </w:r>
    </w:p>
    <w:p>
      <w:pPr>
        <w:pStyle w:val="Heading2"/>
        <w:spacing w:after="120" w:before="240"/>
      </w:pPr>
      <w:r>
        <w:rPr>
          <w:rFonts w:ascii="Arial" w:cs="Arial" w:eastAsia="Arial" w:hAnsi="Arial"/>
          <w:b/>
          <w:bCs/>
          <w:color w:val="2C3E6B"/>
          <w:sz w:val="22"/>
          <w:szCs w:val="22"/>
        </w:rPr>
        <w:t xml:space="preserve">8. Project Management, PMO &amp; Governance</w:t>
      </w:r>
    </w:p>
    <w:p>
      <w:pPr>
        <w:spacing w:after="100" w:before="60"/>
      </w:pPr>
      <w:r>
        <w:rPr>
          <w:rFonts w:ascii="Arial" w:cs="Arial" w:eastAsia="Arial" w:hAnsi="Arial"/>
          <w:color w:val="1A1A2E"/>
          <w:sz w:val="20"/>
          <w:szCs w:val="20"/>
        </w:rPr>
        <w:t xml:space="preserve">A dedicated Project Management Office (PMO) provides end-to-end programme governance, risk management, stakeholder reporting and change control across the full 18-month engagement. The PMO operates from GoldBod-hosted offices and maintains weekly steering committee reporting.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1200"/>
        <w:gridCol w:w="1160"/>
      </w:tblGrid>
      <w:tr>
        <w:trPr>
          <w:tblHeader/>
        </w:trPr>
        <w:tc>
          <w:tcPr>
            <w:tcW w:type="dxa" w:w="3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Item / Deliverable</w:t>
            </w:r>
          </w:p>
        </w:tc>
        <w:tc>
          <w:tcPr>
            <w:tcW w:type="dxa" w:w="3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USD</w:t>
            </w:r>
          </w:p>
        </w:tc>
        <w:tc>
          <w:tcPr>
            <w:tcW w:type="dxa" w:w="116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GHS</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PMO Setup, Office &amp; Management Tools</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Office fit-out, project management software (MS Project / Smartsheet) and collaboration tools</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$75,000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975,000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Programme Manager (18 months)</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Senior PM with blockchain/government programme experience</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$180,000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2,340,000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Deputy PM &amp; Project Coordinator (18 months)</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Supporting PM functions and administrative coordination</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$225,000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2,925,000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Financial Manager / Project Controller (18 months)</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Budget tracking, invoice management and financial reporting</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$117,000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1,521,000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Risk Management &amp; Quality Assurance</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Risk register management, quality audits and mitigation reporting</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$40,000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520,000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Steering Committee &amp; Stakeholder Reporting</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Monthly executive dashboards, progress reports and ministerial briefings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$35,000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455,000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Legal &amp; Compliance Oversight</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Contract management, regulatory alignment and IP documentation</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$51,000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663,000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Change Control &amp; Configuration Management</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Formal change request processing, version control governance</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$25,000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325,000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2744"/>
                <w:sz w:val="18"/>
                <w:szCs w:val="18"/>
              </w:rPr>
              <w:t xml:space="preserve">Sub-Total</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$748,000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GHS 9,724,000</w:t>
            </w:r>
          </w:p>
        </w:tc>
      </w:tr>
    </w:tbl>
    <w:p>
      <w:pPr>
        <w:spacing w:after="0" w:before="0"/>
      </w:pPr>
      <w:r>
        <w:t xml:space="preserve"/>
      </w:r>
    </w:p>
    <w:p>
      <w:pPr>
        <w:pStyle w:val="Heading2"/>
        <w:spacing w:after="120" w:before="240"/>
      </w:pPr>
      <w:r>
        <w:rPr>
          <w:rFonts w:ascii="Arial" w:cs="Arial" w:eastAsia="Arial" w:hAnsi="Arial"/>
          <w:b/>
          <w:bCs/>
          <w:color w:val="2C3E6B"/>
          <w:sz w:val="22"/>
          <w:szCs w:val="22"/>
        </w:rPr>
        <w:t xml:space="preserve">9. Compliance, Legal &amp; Regulatory</w:t>
      </w:r>
    </w:p>
    <w:p>
      <w:pPr>
        <w:spacing w:after="100" w:before="60"/>
      </w:pPr>
      <w:r>
        <w:rPr>
          <w:rFonts w:ascii="Arial" w:cs="Arial" w:eastAsia="Arial" w:hAnsi="Arial"/>
          <w:color w:val="1A1A2E"/>
          <w:sz w:val="20"/>
          <w:szCs w:val="20"/>
        </w:rPr>
        <w:t xml:space="preserve">Regulatory compliance costs ensure the TAS is fully aligned with Ghana's data protection legislation (Act 843), AML/CFT obligations under the FIC Act, and international standards (OECD Due Diligence Guidance, LBMA Responsible Gold). These are non-negotiable regulatory requirements.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1200"/>
        <w:gridCol w:w="1160"/>
      </w:tblGrid>
      <w:tr>
        <w:trPr>
          <w:tblHeader/>
        </w:trPr>
        <w:tc>
          <w:tcPr>
            <w:tcW w:type="dxa" w:w="3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Item / Deliverable</w:t>
            </w:r>
          </w:p>
        </w:tc>
        <w:tc>
          <w:tcPr>
            <w:tcW w:type="dxa" w:w="3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USD</w:t>
            </w:r>
          </w:p>
        </w:tc>
        <w:tc>
          <w:tcPr>
            <w:tcW w:type="dxa" w:w="116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GHS</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Data Protection Act 843 — DPIA &amp; Privacy Impact Assessment</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Structured DPIA, data processing agreements and DPA registration</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$12,000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156,000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AML/CFT Compliance Framework Design</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Risk-based AML/CFT programme aligned to FIC Act requirements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$25,000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325,000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OECD &amp; LBMA Due Diligence Compliance Design</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Responsible gold guidance implementation and supply chain due diligence framework</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$20,000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260,000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Legal Drafting — IP, Source Code &amp; Service Agreements</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IP assignment deed, SLA, NDA and all project legal instruments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390,000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Regulatory Engagement — Minerals Commission &amp; EPA</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Formal regulatory liaison, permit applications and compliance filing</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$20,000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260,000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Cybersecurity Compliance &amp; ISO 27001 Alignment</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Information security management system design and gap assessment</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390,000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External Legal Counsel (Contract Disputes, IP)</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Retainer for external legal advisory throughout the project</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$18,000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234,000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Compliance Audits (2 × annual)</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Independent compliance audits at Month 9 and Month 18</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$25,000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325,000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2744"/>
                <w:sz w:val="18"/>
                <w:szCs w:val="18"/>
              </w:rPr>
              <w:t xml:space="preserve">Sub-Total</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$180,000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GHS 2,340,000</w:t>
            </w:r>
          </w:p>
        </w:tc>
      </w:tr>
    </w:tbl>
    <w:p>
      <w:pPr>
        <w:spacing w:after="0" w:before="0"/>
      </w:pPr>
      <w:r>
        <w:t xml:space="preserve"/>
      </w:r>
    </w:p>
    <w:p>
      <w:pPr>
        <w:pStyle w:val="Heading2"/>
        <w:spacing w:after="120" w:before="240"/>
      </w:pPr>
      <w:r>
        <w:rPr>
          <w:rFonts w:ascii="Arial" w:cs="Arial" w:eastAsia="Arial" w:hAnsi="Arial"/>
          <w:b/>
          <w:bCs/>
          <w:color w:val="2C3E6B"/>
          <w:sz w:val="22"/>
          <w:szCs w:val="22"/>
        </w:rPr>
        <w:t xml:space="preserve">10. Documentation &amp; Deliverables</w:t>
      </w:r>
    </w:p>
    <w:p>
      <w:pPr>
        <w:spacing w:after="100" w:before="60"/>
      </w:pPr>
      <w:r>
        <w:rPr>
          <w:rFonts w:ascii="Arial" w:cs="Arial" w:eastAsia="Arial" w:hAnsi="Arial"/>
          <w:color w:val="1A1A2E"/>
          <w:sz w:val="20"/>
          <w:szCs w:val="20"/>
        </w:rPr>
        <w:t xml:space="preserve">All technical deliverables will be professionally documented in line with GoldBod's knowledge management requirements and international technical writing standards. Full documentation, source code repositories and operational manuals are included in the IP assignment to GoldBod.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1200"/>
        <w:gridCol w:w="1160"/>
      </w:tblGrid>
      <w:tr>
        <w:trPr>
          <w:tblHeader/>
        </w:trPr>
        <w:tc>
          <w:tcPr>
            <w:tcW w:type="dxa" w:w="3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Item / Deliverable</w:t>
            </w:r>
          </w:p>
        </w:tc>
        <w:tc>
          <w:tcPr>
            <w:tcW w:type="dxa" w:w="3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USD</w:t>
            </w:r>
          </w:p>
        </w:tc>
        <w:tc>
          <w:tcPr>
            <w:tcW w:type="dxa" w:w="116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GHS</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System Architecture &amp; Design Documentation</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System Design Document (SDD), architecture diagrams and data dictionaries</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$13,000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169,000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Technical Operations Manual</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Platform administration, deployment, backup and recovery procedures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130,000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User Guides &amp; Quick Reference Manuals (All Roles)</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Role-specific user guides for all 8 platform user groups</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$12,000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156,000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API Documentation &amp; Developer Guides</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OpenAPI specifications, integration guides for all 6 agency integrations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$8,000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104,000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Training &amp; E-Learning Content</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Final training materials, presentations and LMS content packs</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$12,000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156,000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Compliance &amp; Audit Reports</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DPIA report, security audit reports, UAT sign-off documentation</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$10,000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130,000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Project Closure &amp; Handover Report</w:t>
            </w:r>
          </w:p>
        </w:tc>
        <w:tc>
          <w:tcPr>
            <w:tcW w:type="dxa" w:w="3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Final lessons-learned report, warranty documentation and IP transfer pack</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$15,000</w:t>
            </w:r>
          </w:p>
        </w:tc>
        <w:tc>
          <w:tcPr>
            <w:tcW w:type="dxa" w:w="11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195,000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Source Code Repository &amp; Release Notes</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Annotated source code repository, release history and version documentation</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$15,000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195,000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2744"/>
                <w:sz w:val="18"/>
                <w:szCs w:val="18"/>
              </w:rPr>
              <w:t xml:space="preserve">Sub-Total</w:t>
            </w:r>
          </w:p>
        </w:tc>
        <w:tc>
          <w:tcPr>
            <w:tcW w:type="dxa" w:w="3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$95,000</w:t>
            </w:r>
          </w:p>
        </w:tc>
        <w:tc>
          <w:tcPr>
            <w:tcW w:type="dxa" w:w="11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GHS 1,235,000</w:t>
            </w:r>
          </w:p>
        </w:tc>
      </w:tr>
    </w:tbl>
    <w:p>
      <w:pPr>
        <w:spacing w:after="0" w:before="0"/>
      </w:pPr>
      <w:r>
        <w:t xml:space="preserve"/>
      </w:r>
    </w:p>
    <w:p>
      <w:r>
        <w:br w:type="page"/>
      </w:r>
    </w:p>
    <w:p>
      <w:pPr>
        <w:pStyle w:val="Heading1"/>
        <w:pBdr>
          <w:bottom w:val="single" w:color="C8A200" w:sz="8" w:space="4"/>
        </w:pBdr>
        <w:spacing w:after="160" w:before="360"/>
      </w:pPr>
      <w:r>
        <w:rPr>
          <w:rFonts w:ascii="Arial" w:cs="Arial" w:eastAsia="Arial" w:hAnsi="Arial"/>
          <w:b/>
          <w:bCs/>
          <w:color w:val="1A2744"/>
          <w:sz w:val="26"/>
          <w:szCs w:val="26"/>
        </w:rPr>
        <w:t xml:space="preserve">SECTION 1 — PERSONNEL &amp; HR COSTS</w:t>
      </w:r>
    </w:p>
    <w:p>
      <w:pPr>
        <w:spacing w:after="100" w:before="60"/>
      </w:pPr>
      <w:r>
        <w:rPr>
          <w:rFonts w:ascii="Arial" w:cs="Arial" w:eastAsia="Arial" w:hAnsi="Arial"/>
          <w:color w:val="1A1A2E"/>
          <w:sz w:val="20"/>
          <w:szCs w:val="20"/>
        </w:rPr>
        <w:t xml:space="preserve">Personnel and human resource costs represent the largest single budget category at USD 3,250,000 (28.7% of total). The team is structured across eight functional sub-teams covering implementation, QA, integration, training, project management, compliance and post-go-live stabilisation. A minimum of 60% Ghanaian nationals by headcount is committed, with statutory on-costs (SSNIT, Tier 2, PAYE) fully included.</w:t>
      </w:r>
    </w:p>
    <w:p>
      <w:pPr>
        <w:spacing w:after="0" w:before="0"/>
      </w:pPr>
      <w:r>
        <w:t xml:space="preserve"/>
      </w:r>
    </w:p>
    <w:p>
      <w:pPr>
        <w:spacing w:after="80" w:before="180"/>
      </w:pPr>
      <w:r>
        <w:rPr>
          <w:rFonts w:ascii="Arial" w:cs="Arial" w:eastAsia="Arial" w:hAnsi="Arial"/>
          <w:b/>
          <w:bCs/>
          <w:color w:val="2C3E6B"/>
          <w:sz w:val="20"/>
          <w:szCs w:val="20"/>
        </w:rPr>
        <w:t xml:space="preserve">A. Technical Development Team (Implementation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800"/>
        <w:gridCol w:w="1200"/>
        <w:gridCol w:w="1200"/>
        <w:gridCol w:w="1560"/>
      </w:tblGrid>
      <w:tr>
        <w:trPr>
          <w:tblHeader/>
        </w:trPr>
        <w:tc>
          <w:tcPr>
            <w:tcW w:type="dxa" w:w="3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Role / Position</w:t>
            </w:r>
          </w:p>
        </w:tc>
        <w:tc>
          <w:tcPr>
            <w:tcW w:type="dxa" w:w="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Mths</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Rate / Month (USD)</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(USD)</w:t>
            </w:r>
          </w:p>
        </w:tc>
        <w:tc>
          <w:tcPr>
            <w:tcW w:type="dxa" w:w="156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(GHS)</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Blockchain Architect / Lead Developer</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8</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$12,000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$96,000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1,248,000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Senior Backend Developer (Blockchain)</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6</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$9,000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$108,000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1,404,000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Senior Backend Developer (API / Core Platform)</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6</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$8,500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$102,000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1,326,000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Frontend Developer (Web Portal)</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6</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$7,000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$84,000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1,092,000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Mobile App Developer (Android &amp; iOS)</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6</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$7,500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$90,000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1,170,000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Smart Contract Developer</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5</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$9,500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$47,500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617,500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DevOps / Cloud Engineer</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7</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$8,000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$112,000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1,456,000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Database Administrator</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6</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$7,000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$42,000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546,000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Cybersecurity / Security Engineer</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6</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$8,500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$51,000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663,000</w:t>
            </w:r>
          </w:p>
        </w:tc>
      </w:tr>
      <w:tr>
        <w:tc>
          <w:tcPr>
            <w:tcW w:type="dxa" w:w="66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2744"/>
                <w:sz w:val="18"/>
                <w:szCs w:val="18"/>
              </w:rPr>
              <w:t xml:space="preserve">Sub-Total: A. Technical Development Team (Implementation Phase)</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$732,500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GHS 9,522,500</w:t>
            </w:r>
          </w:p>
        </w:tc>
      </w:tr>
    </w:tbl>
    <w:p>
      <w:pPr>
        <w:spacing w:after="0" w:before="0"/>
      </w:pPr>
      <w:r>
        <w:t xml:space="preserve"/>
      </w:r>
    </w:p>
    <w:p>
      <w:pPr>
        <w:spacing w:after="80" w:before="180"/>
      </w:pPr>
      <w:r>
        <w:rPr>
          <w:rFonts w:ascii="Arial" w:cs="Arial" w:eastAsia="Arial" w:hAnsi="Arial"/>
          <w:b/>
          <w:bCs/>
          <w:color w:val="2C3E6B"/>
          <w:sz w:val="20"/>
          <w:szCs w:val="20"/>
        </w:rPr>
        <w:t xml:space="preserve">B. QA &amp; Testing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800"/>
        <w:gridCol w:w="1200"/>
        <w:gridCol w:w="1200"/>
        <w:gridCol w:w="1560"/>
      </w:tblGrid>
      <w:tr>
        <w:trPr>
          <w:tblHeader/>
        </w:trPr>
        <w:tc>
          <w:tcPr>
            <w:tcW w:type="dxa" w:w="3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Role / Position</w:t>
            </w:r>
          </w:p>
        </w:tc>
        <w:tc>
          <w:tcPr>
            <w:tcW w:type="dxa" w:w="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Mths</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Rate / Month (USD)</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(USD)</w:t>
            </w:r>
          </w:p>
        </w:tc>
        <w:tc>
          <w:tcPr>
            <w:tcW w:type="dxa" w:w="156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(GHS)</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QA Lead / Test Manager</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5</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$7,500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$37,500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487,500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QA Engineer / Functional Tester</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3</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5</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$5,500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$82,500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1,072,500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Test Automation Engineer</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4</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$6,500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$26,000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338,000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Penetration Tester / Security Auditor</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$8,000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$16,000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208,000</w:t>
            </w:r>
          </w:p>
        </w:tc>
      </w:tr>
      <w:tr>
        <w:tc>
          <w:tcPr>
            <w:tcW w:type="dxa" w:w="66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2744"/>
                <w:sz w:val="18"/>
                <w:szCs w:val="18"/>
              </w:rPr>
              <w:t xml:space="preserve">Sub-Total: B. QA &amp; Testing Team</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$162,000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GHS 2,106,000</w:t>
            </w:r>
          </w:p>
        </w:tc>
      </w:tr>
    </w:tbl>
    <w:p>
      <w:pPr>
        <w:spacing w:after="0" w:before="0"/>
      </w:pPr>
      <w:r>
        <w:t xml:space="preserve"/>
      </w:r>
    </w:p>
    <w:p>
      <w:pPr>
        <w:spacing w:after="80" w:before="180"/>
      </w:pPr>
      <w:r>
        <w:rPr>
          <w:rFonts w:ascii="Arial" w:cs="Arial" w:eastAsia="Arial" w:hAnsi="Arial"/>
          <w:b/>
          <w:bCs/>
          <w:color w:val="2C3E6B"/>
          <w:sz w:val="20"/>
          <w:szCs w:val="20"/>
        </w:rPr>
        <w:t xml:space="preserve">C. UI/UX Design &amp; Business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800"/>
        <w:gridCol w:w="1200"/>
        <w:gridCol w:w="1200"/>
        <w:gridCol w:w="1560"/>
      </w:tblGrid>
      <w:tr>
        <w:trPr>
          <w:tblHeader/>
        </w:trPr>
        <w:tc>
          <w:tcPr>
            <w:tcW w:type="dxa" w:w="3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Role / Position</w:t>
            </w:r>
          </w:p>
        </w:tc>
        <w:tc>
          <w:tcPr>
            <w:tcW w:type="dxa" w:w="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Mths</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Rate / Month (USD)</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(USD)</w:t>
            </w:r>
          </w:p>
        </w:tc>
        <w:tc>
          <w:tcPr>
            <w:tcW w:type="dxa" w:w="156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(GHS)</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Lead UI/UX Designer</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5</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$7,000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$35,000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455,000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Business Analyst (Gold Supply Chain)</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6</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$7,000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$84,000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1,092,000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Requirements Engineer</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4</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$6,000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$24,000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312,000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Domain Expert — AML/CFT Compliance</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4</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$9,000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$36,000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468,000</w:t>
            </w:r>
          </w:p>
        </w:tc>
      </w:tr>
      <w:tr>
        <w:tc>
          <w:tcPr>
            <w:tcW w:type="dxa" w:w="66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2744"/>
                <w:sz w:val="18"/>
                <w:szCs w:val="18"/>
              </w:rPr>
              <w:t xml:space="preserve">Sub-Total: C. UI/UX Design &amp; Business Analysis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$179,000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GHS 2,327,000</w:t>
            </w:r>
          </w:p>
        </w:tc>
      </w:tr>
    </w:tbl>
    <w:p>
      <w:pPr>
        <w:spacing w:after="0" w:before="0"/>
      </w:pPr>
      <w:r>
        <w:t xml:space="preserve"/>
      </w:r>
    </w:p>
    <w:p>
      <w:pPr>
        <w:spacing w:after="80" w:before="180"/>
      </w:pPr>
      <w:r>
        <w:rPr>
          <w:rFonts w:ascii="Arial" w:cs="Arial" w:eastAsia="Arial" w:hAnsi="Arial"/>
          <w:b/>
          <w:bCs/>
          <w:color w:val="2C3E6B"/>
          <w:sz w:val="20"/>
          <w:szCs w:val="20"/>
        </w:rPr>
        <w:t xml:space="preserve">D. Integration &amp; Data Specialists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800"/>
        <w:gridCol w:w="1200"/>
        <w:gridCol w:w="1200"/>
        <w:gridCol w:w="1560"/>
      </w:tblGrid>
      <w:tr>
        <w:trPr>
          <w:tblHeader/>
        </w:trPr>
        <w:tc>
          <w:tcPr>
            <w:tcW w:type="dxa" w:w="3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Role / Position</w:t>
            </w:r>
          </w:p>
        </w:tc>
        <w:tc>
          <w:tcPr>
            <w:tcW w:type="dxa" w:w="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Mths</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Rate / Month (USD)</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(USD)</w:t>
            </w:r>
          </w:p>
        </w:tc>
        <w:tc>
          <w:tcPr>
            <w:tcW w:type="dxa" w:w="156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(GHS)</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Integration Architect</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5</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$9,000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$45,000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585,000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API Developer / Integration Engineer</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5</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$7,000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$70,000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910,000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Data Engineer</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6</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$7,000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$42,000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546,000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Data Scientist / Analytics Specialist</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4</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$7,500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$30,000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390,000</w:t>
            </w:r>
          </w:p>
        </w:tc>
      </w:tr>
      <w:tr>
        <w:tc>
          <w:tcPr>
            <w:tcW w:type="dxa" w:w="66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2744"/>
                <w:sz w:val="18"/>
                <w:szCs w:val="18"/>
              </w:rPr>
              <w:t xml:space="preserve">Sub-Total: D. Integration &amp; Data Specialists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$187,000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GHS 2,431,000</w:t>
            </w:r>
          </w:p>
        </w:tc>
      </w:tr>
    </w:tbl>
    <w:p>
      <w:pPr>
        <w:spacing w:after="0" w:before="0"/>
      </w:pPr>
      <w:r>
        <w:t xml:space="preserve"/>
      </w:r>
    </w:p>
    <w:p>
      <w:pPr>
        <w:spacing w:after="80" w:before="180"/>
      </w:pPr>
      <w:r>
        <w:rPr>
          <w:rFonts w:ascii="Arial" w:cs="Arial" w:eastAsia="Arial" w:hAnsi="Arial"/>
          <w:b/>
          <w:bCs/>
          <w:color w:val="2C3E6B"/>
          <w:sz w:val="20"/>
          <w:szCs w:val="20"/>
        </w:rPr>
        <w:t xml:space="preserve">E. Training &amp; Change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800"/>
        <w:gridCol w:w="1200"/>
        <w:gridCol w:w="1200"/>
        <w:gridCol w:w="1560"/>
      </w:tblGrid>
      <w:tr>
        <w:trPr>
          <w:tblHeader/>
        </w:trPr>
        <w:tc>
          <w:tcPr>
            <w:tcW w:type="dxa" w:w="3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Role / Position</w:t>
            </w:r>
          </w:p>
        </w:tc>
        <w:tc>
          <w:tcPr>
            <w:tcW w:type="dxa" w:w="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Mths</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Rate / Month (USD)</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(USD)</w:t>
            </w:r>
          </w:p>
        </w:tc>
        <w:tc>
          <w:tcPr>
            <w:tcW w:type="dxa" w:w="156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(GHS)</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Training Programme Manager</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6</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$6,500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$39,000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507,000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Field Training Specialist (Regional)</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4</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4</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$4,500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$72,000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936,000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Change Management Consultant</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4</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$8,000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$32,000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416,000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Technical Writer / Documentation Specialist</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6</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$5,000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$30,000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390,000</w:t>
            </w:r>
          </w:p>
        </w:tc>
      </w:tr>
      <w:tr>
        <w:tc>
          <w:tcPr>
            <w:tcW w:type="dxa" w:w="66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2744"/>
                <w:sz w:val="18"/>
                <w:szCs w:val="18"/>
              </w:rPr>
              <w:t xml:space="preserve">Sub-Total: E. Training &amp; Change Management</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$173,000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GHS 2,249,000</w:t>
            </w:r>
          </w:p>
        </w:tc>
      </w:tr>
    </w:tbl>
    <w:p>
      <w:pPr>
        <w:spacing w:after="0" w:before="0"/>
      </w:pPr>
      <w:r>
        <w:t xml:space="preserve"/>
      </w:r>
    </w:p>
    <w:p>
      <w:pPr>
        <w:spacing w:after="80" w:before="180"/>
      </w:pPr>
      <w:r>
        <w:rPr>
          <w:rFonts w:ascii="Arial" w:cs="Arial" w:eastAsia="Arial" w:hAnsi="Arial"/>
          <w:b/>
          <w:bCs/>
          <w:color w:val="2C3E6B"/>
          <w:sz w:val="20"/>
          <w:szCs w:val="20"/>
        </w:rPr>
        <w:t xml:space="preserve">F. Project Management Office (Full 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800"/>
        <w:gridCol w:w="1200"/>
        <w:gridCol w:w="1200"/>
        <w:gridCol w:w="1560"/>
      </w:tblGrid>
      <w:tr>
        <w:trPr>
          <w:tblHeader/>
        </w:trPr>
        <w:tc>
          <w:tcPr>
            <w:tcW w:type="dxa" w:w="3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Role / Position</w:t>
            </w:r>
          </w:p>
        </w:tc>
        <w:tc>
          <w:tcPr>
            <w:tcW w:type="dxa" w:w="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Mths</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Rate / Month (USD)</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(USD)</w:t>
            </w:r>
          </w:p>
        </w:tc>
        <w:tc>
          <w:tcPr>
            <w:tcW w:type="dxa" w:w="156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(GHS)</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Project Manager</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18</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$10,000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$180,000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2,340,000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Deputy Project Manager</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18</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$7,500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$135,000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1,755,000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Project Coordinator</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18</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$5,000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$90,000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1,170,000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Project Administrator</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18</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$3,500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$63,000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819,000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Financial Manager / Controller</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18</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$6,500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$117,000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1,521,000</w:t>
            </w:r>
          </w:p>
        </w:tc>
      </w:tr>
      <w:tr>
        <w:tc>
          <w:tcPr>
            <w:tcW w:type="dxa" w:w="66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2744"/>
                <w:sz w:val="18"/>
                <w:szCs w:val="18"/>
              </w:rPr>
              <w:t xml:space="preserve">Sub-Total: F. Project Management Office (Full 18 Months)</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$585,000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GHS 7,605,000</w:t>
            </w:r>
          </w:p>
        </w:tc>
      </w:tr>
    </w:tbl>
    <w:p>
      <w:pPr>
        <w:spacing w:after="0" w:before="0"/>
      </w:pPr>
      <w:r>
        <w:t xml:space="preserve"/>
      </w:r>
    </w:p>
    <w:p>
      <w:pPr>
        <w:spacing w:after="80" w:before="180"/>
      </w:pPr>
      <w:r>
        <w:rPr>
          <w:rFonts w:ascii="Arial" w:cs="Arial" w:eastAsia="Arial" w:hAnsi="Arial"/>
          <w:b/>
          <w:bCs/>
          <w:color w:val="2C3E6B"/>
          <w:sz w:val="20"/>
          <w:szCs w:val="20"/>
        </w:rPr>
        <w:t xml:space="preserve">G. Compliance &amp;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800"/>
        <w:gridCol w:w="1200"/>
        <w:gridCol w:w="1200"/>
        <w:gridCol w:w="1560"/>
      </w:tblGrid>
      <w:tr>
        <w:trPr>
          <w:tblHeader/>
        </w:trPr>
        <w:tc>
          <w:tcPr>
            <w:tcW w:type="dxa" w:w="3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Role / Position</w:t>
            </w:r>
          </w:p>
        </w:tc>
        <w:tc>
          <w:tcPr>
            <w:tcW w:type="dxa" w:w="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Mths</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Rate / Month (USD)</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(USD)</w:t>
            </w:r>
          </w:p>
        </w:tc>
        <w:tc>
          <w:tcPr>
            <w:tcW w:type="dxa" w:w="156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(GHS)</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Compliance Officer — Data Protection (Act 843)</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12</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$7,000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$84,000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1,092,000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AML/CFT Compliance Specialist</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8</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$8,000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$64,000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832,000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Legal Advisor (Contract / IP / Regulatory)</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6</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$8,500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$51,000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663,000</w:t>
            </w:r>
          </w:p>
        </w:tc>
      </w:tr>
      <w:tr>
        <w:tc>
          <w:tcPr>
            <w:tcW w:type="dxa" w:w="66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2744"/>
                <w:sz w:val="18"/>
                <w:szCs w:val="18"/>
              </w:rPr>
              <w:t xml:space="preserve">Sub-Total: G. Compliance &amp; Legal</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$199,000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GHS 2,587,000</w:t>
            </w:r>
          </w:p>
        </w:tc>
      </w:tr>
    </w:tbl>
    <w:p>
      <w:pPr>
        <w:spacing w:after="0" w:before="0"/>
      </w:pPr>
      <w:r>
        <w:t xml:space="preserve"/>
      </w:r>
    </w:p>
    <w:p>
      <w:pPr>
        <w:spacing w:after="80" w:before="180"/>
      </w:pPr>
      <w:r>
        <w:rPr>
          <w:rFonts w:ascii="Arial" w:cs="Arial" w:eastAsia="Arial" w:hAnsi="Arial"/>
          <w:b/>
          <w:bCs/>
          <w:color w:val="2C3E6B"/>
          <w:sz w:val="20"/>
          <w:szCs w:val="20"/>
        </w:rPr>
        <w:t xml:space="preserve">H. Stabilisation &amp; Support Team (Months 7–18)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800"/>
        <w:gridCol w:w="1200"/>
        <w:gridCol w:w="1200"/>
        <w:gridCol w:w="1560"/>
      </w:tblGrid>
      <w:tr>
        <w:trPr>
          <w:tblHeader/>
        </w:trPr>
        <w:tc>
          <w:tcPr>
            <w:tcW w:type="dxa" w:w="3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Role / Position</w:t>
            </w:r>
          </w:p>
        </w:tc>
        <w:tc>
          <w:tcPr>
            <w:tcW w:type="dxa" w:w="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8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Mths</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Rate / Month (USD)</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(USD)</w:t>
            </w:r>
          </w:p>
        </w:tc>
        <w:tc>
          <w:tcPr>
            <w:tcW w:type="dxa" w:w="156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(GHS)</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Technical Support Engineer (L2/L3)</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3</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12</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$6,000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$216,000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2,808,000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System Administrator</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12</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$5,500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$132,000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1,716,000</w:t>
            </w:r>
          </w:p>
        </w:tc>
      </w:tr>
      <w:tr>
        <w:tc>
          <w:tcPr>
            <w:tcW w:type="dxa" w:w="3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Help Desk / L1 Support Agent</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4</w:t>
            </w:r>
          </w:p>
        </w:tc>
        <w:tc>
          <w:tcPr>
            <w:tcW w:type="dxa" w:w="8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12</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$3,000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$144,000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1,872,000</w:t>
            </w:r>
          </w:p>
        </w:tc>
      </w:tr>
      <w:tr>
        <w:tc>
          <w:tcPr>
            <w:tcW w:type="dxa" w:w="3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Blockchain Node Operator</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8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12</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$6,000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$72,000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936,000</w:t>
            </w:r>
          </w:p>
        </w:tc>
      </w:tr>
      <w:tr>
        <w:tc>
          <w:tcPr>
            <w:tcW w:type="dxa" w:w="66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2744"/>
                <w:sz w:val="18"/>
                <w:szCs w:val="18"/>
              </w:rPr>
              <w:t xml:space="preserve">Sub-Total: H. Stabilisation &amp; Support Team (Months 7–18)</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$564,000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GHS 7,332,000</w:t>
            </w:r>
          </w:p>
        </w:tc>
      </w:tr>
    </w:tbl>
    <w:p>
      <w:pPr>
        <w:spacing w:after="0" w:before="0"/>
      </w:pPr>
      <w:r>
        <w:t xml:space="preserve"/>
      </w:r>
    </w:p>
    <w:p>
      <w:pPr>
        <w:spacing w:after="80" w:before="180"/>
      </w:pPr>
      <w:r>
        <w:rPr>
          <w:rFonts w:ascii="Arial" w:cs="Arial" w:eastAsia="Arial" w:hAnsi="Arial"/>
          <w:b/>
          <w:bCs/>
          <w:color w:val="2C3E6B"/>
          <w:sz w:val="20"/>
          <w:szCs w:val="20"/>
        </w:rPr>
        <w:t xml:space="preserve">I. Statutory Employment On-Costs (Ghana)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On-Cost Item</w:t>
            </w:r>
          </w:p>
        </w:tc>
        <w:tc>
          <w:tcPr>
            <w:tcW w:type="dxa" w:w="20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Amount (USD)</w:t>
            </w:r>
          </w:p>
        </w:tc>
      </w:tr>
      <w:tr>
        <w:tc>
          <w:tcPr>
            <w:tcW w:type="dxa" w:w="73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SSNIT — Employer Contribution (13% of basic salary)</w:t>
            </w:r>
          </w:p>
        </w:tc>
        <w:tc>
          <w:tcPr>
            <w:tcW w:type="dxa" w:w="2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$245,000</w:t>
            </w:r>
          </w:p>
        </w:tc>
      </w:tr>
      <w:tr>
        <w:tc>
          <w:tcPr>
            <w:tcW w:type="dxa" w:w="73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Tier 2 Pension Contribution (5% of basic salary)</w:t>
            </w:r>
          </w:p>
        </w:tc>
        <w:tc>
          <w:tcPr>
            <w:tcW w:type="dxa" w:w="2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$94,000</w:t>
            </w:r>
          </w:p>
        </w:tc>
      </w:tr>
      <w:tr>
        <w:tc>
          <w:tcPr>
            <w:tcW w:type="dxa" w:w="73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Staff Medical Insurance (~USD 200/person/month, ~50 staff)</w:t>
            </w:r>
          </w:p>
        </w:tc>
        <w:tc>
          <w:tcPr>
            <w:tcW w:type="dxa" w:w="2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$108,000</w:t>
            </w:r>
          </w:p>
        </w:tc>
      </w:tr>
      <w:tr>
        <w:tc>
          <w:tcPr>
            <w:tcW w:type="dxa" w:w="73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Professional Indemnity &amp; Project Insurance</w:t>
            </w:r>
          </w:p>
        </w:tc>
        <w:tc>
          <w:tcPr>
            <w:tcW w:type="dxa" w:w="2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$65,000</w:t>
            </w:r>
          </w:p>
        </w:tc>
      </w:tr>
      <w:tr>
        <w:tc>
          <w:tcPr>
            <w:tcW w:type="dxa" w:w="73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Staff Welfare &amp; Team Activities</w:t>
            </w:r>
          </w:p>
        </w:tc>
        <w:tc>
          <w:tcPr>
            <w:tcW w:type="dxa" w:w="2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$28,000</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D5D9E0" w:sz="4"/>
              <w:left w:val="single" w:color="D5D9E0" w:sz="4"/>
              <w:bottom w:val="single" w:color="D5D9E0" w:sz="4"/>
              <w:right w:val="single" w:color="D5D9E0" w:sz="4"/>
            </w:tcBorders>
            <w:shd w:fill="1A274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PERSONNEL &amp; HR COSTS</w:t>
            </w:r>
          </w:p>
        </w:tc>
        <w:tc>
          <w:tcPr>
            <w:tcW w:type="dxa" w:w="2000"/>
            <w:tcBorders>
              <w:top w:val="single" w:color="D5D9E0" w:sz="4"/>
              <w:left w:val="single" w:color="D5D9E0" w:sz="4"/>
              <w:bottom w:val="single" w:color="D5D9E0" w:sz="4"/>
              <w:right w:val="single" w:color="D5D9E0" w:sz="4"/>
            </w:tcBorders>
            <w:shd w:fill="1A2744" w:val="clear"/>
            <w:tcMar>
              <w:top w:type="dxa" w:w="80"/>
              <w:left w:type="dxa" w:w="120"/>
              <w:bottom w:type="dxa" w:w="80"/>
              <w:right w:type="dxa" w:w="120"/>
            </w:tcMar>
            <w:vAlign w:val="center"/>
          </w:tcPr>
          <w:p>
            <w:pPr>
              <w:jc w:val="right"/>
            </w:pPr>
            <w:r>
              <w:rPr>
                <w:rFonts w:ascii="Arial" w:cs="Arial" w:eastAsia="Arial" w:hAnsi="Arial"/>
                <w:b/>
                <w:bCs/>
                <w:color w:val="C8A200"/>
                <w:sz w:val="18"/>
                <w:szCs w:val="18"/>
              </w:rPr>
              <w:t xml:space="preserve">USD 3,250,000</w:t>
            </w:r>
          </w:p>
        </w:tc>
      </w:tr>
    </w:tbl>
    <w:p>
      <w:r>
        <w:br w:type="page"/>
      </w:r>
    </w:p>
    <w:p>
      <w:pPr>
        <w:pStyle w:val="Heading1"/>
        <w:pBdr>
          <w:bottom w:val="single" w:color="C8A200" w:sz="8" w:space="4"/>
        </w:pBdr>
        <w:spacing w:after="160" w:before="360"/>
      </w:pPr>
      <w:r>
        <w:rPr>
          <w:rFonts w:ascii="Arial" w:cs="Arial" w:eastAsia="Arial" w:hAnsi="Arial"/>
          <w:b/>
          <w:bCs/>
          <w:color w:val="1A2744"/>
          <w:sz w:val="26"/>
          <w:szCs w:val="26"/>
        </w:rPr>
        <w:t xml:space="preserve">PAYMENT MILESTONE SCHEDULE</w:t>
      </w:r>
    </w:p>
    <w:p>
      <w:pPr>
        <w:spacing w:after="100" w:before="60"/>
      </w:pPr>
      <w:r>
        <w:rPr>
          <w:rFonts w:ascii="Arial" w:cs="Arial" w:eastAsia="Arial" w:hAnsi="Arial"/>
          <w:color w:val="1A1A2E"/>
          <w:sz w:val="20"/>
          <w:szCs w:val="20"/>
        </w:rPr>
        <w:t xml:space="preserve">Payments are structured on a milestone basis, releasing tranches upon formal written sign-off by GoldBod for each deliverable. The structure is designed to align the vendor's cash flow with demonstrable project progress while protecting GoldBod's interests. A 2% performance retention is held until 12 months post-warranty expiry.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80"/>
        <w:gridCol w:w="720"/>
        <w:gridCol w:w="1600"/>
        <w:gridCol w:w="1680"/>
        <w:gridCol w:w="1560"/>
      </w:tblGrid>
      <w:tr>
        <w:trPr>
          <w:tblHeader/>
        </w:trPr>
        <w:tc>
          <w:tcPr>
            <w:tcW w:type="dxa" w:w="72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Ref</w:t>
            </w:r>
          </w:p>
        </w:tc>
        <w:tc>
          <w:tcPr>
            <w:tcW w:type="dxa" w:w="308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Milestone Description</w:t>
            </w:r>
          </w:p>
        </w:tc>
        <w:tc>
          <w:tcPr>
            <w:tcW w:type="dxa" w:w="72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16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Amount (USD)</w:t>
            </w:r>
          </w:p>
        </w:tc>
        <w:tc>
          <w:tcPr>
            <w:tcW w:type="dxa" w:w="168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Amount (GHS)</w:t>
            </w:r>
          </w:p>
        </w:tc>
        <w:tc>
          <w:tcPr>
            <w:tcW w:type="dxa" w:w="156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Target Date</w:t>
            </w:r>
          </w:p>
        </w:tc>
      </w:tr>
      <w:tr>
        <w:tc>
          <w:tcPr>
            <w:tcW w:type="dxa" w:w="7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bCs/>
                <w:color w:val="2C3E6B"/>
                <w:sz w:val="18"/>
                <w:szCs w:val="18"/>
              </w:rPr>
              <w:t xml:space="preserve">M0</w:t>
            </w:r>
          </w:p>
        </w:tc>
        <w:tc>
          <w:tcPr>
            <w:tcW w:type="dxa" w:w="308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Contract Signing Advance</w:t>
            </w:r>
          </w:p>
        </w:tc>
        <w:tc>
          <w:tcPr>
            <w:tcW w:type="dxa" w:w="7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15%</w:t>
            </w:r>
          </w:p>
        </w:tc>
        <w:tc>
          <w:tcPr>
            <w:tcW w:type="dxa" w:w="16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USD 1,698,750</w:t>
            </w:r>
          </w:p>
        </w:tc>
        <w:tc>
          <w:tcPr>
            <w:tcW w:type="dxa" w:w="168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22,083,750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Week 0</w:t>
            </w:r>
          </w:p>
        </w:tc>
      </w:tr>
      <w:tr>
        <w:tc>
          <w:tcPr>
            <w:tcW w:type="dxa" w:w="7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bCs/>
                <w:color w:val="2C3E6B"/>
                <w:sz w:val="18"/>
                <w:szCs w:val="18"/>
              </w:rPr>
              <w:t xml:space="preserve">M1</w:t>
            </w:r>
          </w:p>
        </w:tc>
        <w:tc>
          <w:tcPr>
            <w:tcW w:type="dxa" w:w="308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Phase 1 Complete — Design, Architecture &amp; Requirements</w:t>
            </w:r>
          </w:p>
        </w:tc>
        <w:tc>
          <w:tcPr>
            <w:tcW w:type="dxa" w:w="7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12%</w:t>
            </w:r>
          </w:p>
        </w:tc>
        <w:tc>
          <w:tcPr>
            <w:tcW w:type="dxa" w:w="16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USD 1,359,000</w:t>
            </w:r>
          </w:p>
        </w:tc>
        <w:tc>
          <w:tcPr>
            <w:tcW w:type="dxa" w:w="168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17,667,000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Month 2</w:t>
            </w:r>
          </w:p>
        </w:tc>
      </w:tr>
      <w:tr>
        <w:tc>
          <w:tcPr>
            <w:tcW w:type="dxa" w:w="7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bCs/>
                <w:color w:val="2C3E6B"/>
                <w:sz w:val="18"/>
                <w:szCs w:val="18"/>
              </w:rPr>
              <w:t xml:space="preserve">M2</w:t>
            </w:r>
          </w:p>
        </w:tc>
        <w:tc>
          <w:tcPr>
            <w:tcW w:type="dxa" w:w="308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Phase 2 Complete — Core Platform &amp; Blockchain Development</w:t>
            </w:r>
          </w:p>
        </w:tc>
        <w:tc>
          <w:tcPr>
            <w:tcW w:type="dxa" w:w="7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20%</w:t>
            </w:r>
          </w:p>
        </w:tc>
        <w:tc>
          <w:tcPr>
            <w:tcW w:type="dxa" w:w="16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USD 2,265,000</w:t>
            </w:r>
          </w:p>
        </w:tc>
        <w:tc>
          <w:tcPr>
            <w:tcW w:type="dxa" w:w="168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29,445,000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Month 4</w:t>
            </w:r>
          </w:p>
        </w:tc>
      </w:tr>
      <w:tr>
        <w:tc>
          <w:tcPr>
            <w:tcW w:type="dxa" w:w="7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bCs/>
                <w:color w:val="2C3E6B"/>
                <w:sz w:val="18"/>
                <w:szCs w:val="18"/>
              </w:rPr>
              <w:t xml:space="preserve">M3</w:t>
            </w:r>
          </w:p>
        </w:tc>
        <w:tc>
          <w:tcPr>
            <w:tcW w:type="dxa" w:w="308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Phase 3 Complete — Integration &amp; Testing</w:t>
            </w:r>
          </w:p>
        </w:tc>
        <w:tc>
          <w:tcPr>
            <w:tcW w:type="dxa" w:w="7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10%</w:t>
            </w:r>
          </w:p>
        </w:tc>
        <w:tc>
          <w:tcPr>
            <w:tcW w:type="dxa" w:w="16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USD 1,132,500</w:t>
            </w:r>
          </w:p>
        </w:tc>
        <w:tc>
          <w:tcPr>
            <w:tcW w:type="dxa" w:w="168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14,722,500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Month 5</w:t>
            </w:r>
          </w:p>
        </w:tc>
      </w:tr>
      <w:tr>
        <w:tc>
          <w:tcPr>
            <w:tcW w:type="dxa" w:w="7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bCs/>
                <w:color w:val="2C3E6B"/>
                <w:sz w:val="18"/>
                <w:szCs w:val="18"/>
              </w:rPr>
              <w:t xml:space="preserve">M4</w:t>
            </w:r>
          </w:p>
        </w:tc>
        <w:tc>
          <w:tcPr>
            <w:tcW w:type="dxa" w:w="308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Phase 4 Complete — Pilot Deployment</w:t>
            </w:r>
          </w:p>
        </w:tc>
        <w:tc>
          <w:tcPr>
            <w:tcW w:type="dxa" w:w="7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8%</w:t>
            </w:r>
          </w:p>
        </w:tc>
        <w:tc>
          <w:tcPr>
            <w:tcW w:type="dxa" w:w="16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USD 906,000</w:t>
            </w:r>
          </w:p>
        </w:tc>
        <w:tc>
          <w:tcPr>
            <w:tcW w:type="dxa" w:w="168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11,778,000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Month 6</w:t>
            </w:r>
          </w:p>
        </w:tc>
      </w:tr>
      <w:tr>
        <w:tc>
          <w:tcPr>
            <w:tcW w:type="dxa" w:w="7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bCs/>
                <w:color w:val="2C3E6B"/>
                <w:sz w:val="18"/>
                <w:szCs w:val="18"/>
              </w:rPr>
              <w:t xml:space="preserve">M5</w:t>
            </w:r>
          </w:p>
        </w:tc>
        <w:tc>
          <w:tcPr>
            <w:tcW w:type="dxa" w:w="308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Phase 5 — National Go-Live</w:t>
            </w:r>
          </w:p>
        </w:tc>
        <w:tc>
          <w:tcPr>
            <w:tcW w:type="dxa" w:w="7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15%</w:t>
            </w:r>
          </w:p>
        </w:tc>
        <w:tc>
          <w:tcPr>
            <w:tcW w:type="dxa" w:w="16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USD 1,698,750</w:t>
            </w:r>
          </w:p>
        </w:tc>
        <w:tc>
          <w:tcPr>
            <w:tcW w:type="dxa" w:w="168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22,083,750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Month 6</w:t>
            </w:r>
          </w:p>
        </w:tc>
      </w:tr>
      <w:tr>
        <w:tc>
          <w:tcPr>
            <w:tcW w:type="dxa" w:w="7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bCs/>
                <w:color w:val="2C3E6B"/>
                <w:sz w:val="18"/>
                <w:szCs w:val="18"/>
              </w:rPr>
              <w:t xml:space="preserve">M6a</w:t>
            </w:r>
          </w:p>
        </w:tc>
        <w:tc>
          <w:tcPr>
            <w:tcW w:type="dxa" w:w="308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Stabilisation Q1 (2% × 3 months)</w:t>
            </w:r>
          </w:p>
        </w:tc>
        <w:tc>
          <w:tcPr>
            <w:tcW w:type="dxa" w:w="7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6%</w:t>
            </w:r>
          </w:p>
        </w:tc>
        <w:tc>
          <w:tcPr>
            <w:tcW w:type="dxa" w:w="16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USD 679,500</w:t>
            </w:r>
          </w:p>
        </w:tc>
        <w:tc>
          <w:tcPr>
            <w:tcW w:type="dxa" w:w="168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8,833,500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Months 7–9</w:t>
            </w:r>
          </w:p>
        </w:tc>
      </w:tr>
      <w:tr>
        <w:tc>
          <w:tcPr>
            <w:tcW w:type="dxa" w:w="7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bCs/>
                <w:color w:val="2C3E6B"/>
                <w:sz w:val="18"/>
                <w:szCs w:val="18"/>
              </w:rPr>
              <w:t xml:space="preserve">M6b</w:t>
            </w:r>
          </w:p>
        </w:tc>
        <w:tc>
          <w:tcPr>
            <w:tcW w:type="dxa" w:w="308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Stabilisation Q2 (2% × 3 months)</w:t>
            </w:r>
          </w:p>
        </w:tc>
        <w:tc>
          <w:tcPr>
            <w:tcW w:type="dxa" w:w="7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6%</w:t>
            </w:r>
          </w:p>
        </w:tc>
        <w:tc>
          <w:tcPr>
            <w:tcW w:type="dxa" w:w="16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USD 679,500</w:t>
            </w:r>
          </w:p>
        </w:tc>
        <w:tc>
          <w:tcPr>
            <w:tcW w:type="dxa" w:w="168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8,833,500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Months 10–12</w:t>
            </w:r>
          </w:p>
        </w:tc>
      </w:tr>
      <w:tr>
        <w:tc>
          <w:tcPr>
            <w:tcW w:type="dxa" w:w="7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bCs/>
                <w:color w:val="2C3E6B"/>
                <w:sz w:val="18"/>
                <w:szCs w:val="18"/>
              </w:rPr>
              <w:t xml:space="preserve">M6c</w:t>
            </w:r>
          </w:p>
        </w:tc>
        <w:tc>
          <w:tcPr>
            <w:tcW w:type="dxa" w:w="308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Stabilisation Q3 (1% × 3 months)</w:t>
            </w:r>
          </w:p>
        </w:tc>
        <w:tc>
          <w:tcPr>
            <w:tcW w:type="dxa" w:w="7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3%</w:t>
            </w:r>
          </w:p>
        </w:tc>
        <w:tc>
          <w:tcPr>
            <w:tcW w:type="dxa" w:w="16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USD 339,750</w:t>
            </w:r>
          </w:p>
        </w:tc>
        <w:tc>
          <w:tcPr>
            <w:tcW w:type="dxa" w:w="168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4,416,750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Months 13–15</w:t>
            </w:r>
          </w:p>
        </w:tc>
      </w:tr>
      <w:tr>
        <w:tc>
          <w:tcPr>
            <w:tcW w:type="dxa" w:w="7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bCs/>
                <w:color w:val="2C3E6B"/>
                <w:sz w:val="18"/>
                <w:szCs w:val="18"/>
              </w:rPr>
              <w:t xml:space="preserve">M7</w:t>
            </w:r>
          </w:p>
        </w:tc>
        <w:tc>
          <w:tcPr>
            <w:tcW w:type="dxa" w:w="308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Final Handover &amp; Knowledge Transfer</w:t>
            </w:r>
          </w:p>
        </w:tc>
        <w:tc>
          <w:tcPr>
            <w:tcW w:type="dxa" w:w="7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3%</w:t>
            </w:r>
          </w:p>
        </w:tc>
        <w:tc>
          <w:tcPr>
            <w:tcW w:type="dxa" w:w="16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USD 339,750</w:t>
            </w:r>
          </w:p>
        </w:tc>
        <w:tc>
          <w:tcPr>
            <w:tcW w:type="dxa" w:w="168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4,416,750</w:t>
            </w:r>
          </w:p>
        </w:tc>
        <w:tc>
          <w:tcPr>
            <w:tcW w:type="dxa" w:w="15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Month 18</w:t>
            </w:r>
          </w:p>
        </w:tc>
      </w:tr>
      <w:tr>
        <w:tc>
          <w:tcPr>
            <w:tcW w:type="dxa" w:w="7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bCs/>
                <w:color w:val="2C3E6B"/>
                <w:sz w:val="18"/>
                <w:szCs w:val="18"/>
              </w:rPr>
              <w:t xml:space="preserve">RET</w:t>
            </w:r>
          </w:p>
        </w:tc>
        <w:tc>
          <w:tcPr>
            <w:tcW w:type="dxa" w:w="308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Performance Retention (released post-warranty)</w:t>
            </w:r>
          </w:p>
        </w:tc>
        <w:tc>
          <w:tcPr>
            <w:tcW w:type="dxa" w:w="7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w:t>
            </w:r>
          </w:p>
        </w:tc>
        <w:tc>
          <w:tcPr>
            <w:tcW w:type="dxa" w:w="16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USD 226,500</w:t>
            </w:r>
          </w:p>
        </w:tc>
        <w:tc>
          <w:tcPr>
            <w:tcW w:type="dxa" w:w="168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2,944,500</w:t>
            </w:r>
          </w:p>
        </w:tc>
        <w:tc>
          <w:tcPr>
            <w:tcW w:type="dxa" w:w="15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Month 24</w:t>
            </w:r>
          </w:p>
        </w:tc>
      </w:tr>
      <w:tr>
        <w:tc>
          <w:tcPr>
            <w:tcW w:type="dxa" w:w="720"/>
            <w:tcBorders>
              <w:top w:val="single" w:color="D5D9E0" w:sz="4"/>
              <w:left w:val="single" w:color="D5D9E0" w:sz="4"/>
              <w:bottom w:val="single" w:color="D5D9E0" w:sz="4"/>
              <w:right w:val="single" w:color="D5D9E0" w:sz="4"/>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w:t>
            </w:r>
          </w:p>
        </w:tc>
        <w:tc>
          <w:tcPr>
            <w:tcW w:type="dxa" w:w="3080"/>
            <w:tcBorders>
              <w:top w:val="single" w:color="D5D9E0" w:sz="4"/>
              <w:left w:val="single" w:color="D5D9E0" w:sz="4"/>
              <w:bottom w:val="single" w:color="D5D9E0" w:sz="4"/>
              <w:right w:val="single" w:color="D5D9E0" w:sz="4"/>
            </w:tcBorders>
            <w:shd w:fill="1A274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Contract Value</w:t>
            </w:r>
          </w:p>
        </w:tc>
        <w:tc>
          <w:tcPr>
            <w:tcW w:type="dxa" w:w="720"/>
            <w:tcBorders>
              <w:top w:val="single" w:color="D5D9E0" w:sz="4"/>
              <w:left w:val="single" w:color="D5D9E0" w:sz="4"/>
              <w:bottom w:val="single" w:color="D5D9E0" w:sz="4"/>
              <w:right w:val="single" w:color="D5D9E0" w:sz="4"/>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100%</w:t>
            </w:r>
          </w:p>
        </w:tc>
        <w:tc>
          <w:tcPr>
            <w:tcW w:type="dxa" w:w="1600"/>
            <w:tcBorders>
              <w:top w:val="single" w:color="D5D9E0" w:sz="4"/>
              <w:left w:val="single" w:color="D5D9E0" w:sz="4"/>
              <w:bottom w:val="single" w:color="D5D9E0" w:sz="4"/>
              <w:right w:val="single" w:color="D5D9E0" w:sz="4"/>
            </w:tcBorders>
            <w:shd w:fill="1A2744" w:val="clear"/>
            <w:tcMar>
              <w:top w:type="dxa" w:w="80"/>
              <w:left w:type="dxa" w:w="120"/>
              <w:bottom w:type="dxa" w:w="80"/>
              <w:right w:type="dxa" w:w="120"/>
            </w:tcMar>
            <w:vAlign w:val="center"/>
          </w:tcPr>
          <w:p>
            <w:pPr>
              <w:jc w:val="right"/>
            </w:pPr>
            <w:r>
              <w:rPr>
                <w:rFonts w:ascii="Arial" w:cs="Arial" w:eastAsia="Arial" w:hAnsi="Arial"/>
                <w:b/>
                <w:bCs/>
                <w:color w:val="C8A200"/>
                <w:sz w:val="18"/>
                <w:szCs w:val="18"/>
              </w:rPr>
              <w:t xml:space="preserve">USD 11,325,000</w:t>
            </w:r>
          </w:p>
        </w:tc>
        <w:tc>
          <w:tcPr>
            <w:tcW w:type="dxa" w:w="1680"/>
            <w:tcBorders>
              <w:top w:val="single" w:color="D5D9E0" w:sz="4"/>
              <w:left w:val="single" w:color="D5D9E0" w:sz="4"/>
              <w:bottom w:val="single" w:color="D5D9E0" w:sz="4"/>
              <w:right w:val="single" w:color="D5D9E0" w:sz="4"/>
            </w:tcBorders>
            <w:shd w:fill="1A2744" w:val="clear"/>
            <w:tcMar>
              <w:top w:type="dxa" w:w="80"/>
              <w:left w:type="dxa" w:w="120"/>
              <w:bottom w:type="dxa" w:w="80"/>
              <w:right w:type="dxa" w:w="120"/>
            </w:tcMar>
            <w:vAlign w:val="center"/>
          </w:tcPr>
          <w:p>
            <w:pPr>
              <w:jc w:val="right"/>
            </w:pPr>
            <w:r>
              <w:rPr>
                <w:rFonts w:ascii="Arial" w:cs="Arial" w:eastAsia="Arial" w:hAnsi="Arial"/>
                <w:b/>
                <w:bCs/>
                <w:color w:val="C8A200"/>
                <w:sz w:val="18"/>
                <w:szCs w:val="18"/>
              </w:rPr>
              <w:t xml:space="preserve">GHS 147,225,000</w:t>
            </w:r>
          </w:p>
        </w:tc>
        <w:tc>
          <w:tcPr>
            <w:tcW w:type="dxa" w:w="1560"/>
            <w:tcBorders>
              <w:top w:val="single" w:color="D5D9E0" w:sz="4"/>
              <w:left w:val="single" w:color="D5D9E0" w:sz="4"/>
              <w:bottom w:val="single" w:color="D5D9E0" w:sz="4"/>
              <w:right w:val="single" w:color="D5D9E0" w:sz="4"/>
            </w:tcBorders>
            <w:shd w:fill="1A274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r>
    </w:tbl>
    <w:p>
      <w:pPr>
        <w:spacing w:after="0" w:before="0"/>
      </w:pPr>
      <w:r>
        <w:t xml:space="preserve"/>
      </w:r>
    </w:p>
    <w:p>
      <w:pPr>
        <w:spacing w:after="100" w:before="60"/>
      </w:pPr>
      <w:r>
        <w:rPr>
          <w:rFonts w:ascii="Arial" w:cs="Arial" w:eastAsia="Arial" w:hAnsi="Arial"/>
          <w:color w:val="1A1A2E"/>
          <w:sz w:val="20"/>
          <w:szCs w:val="20"/>
        </w:rPr>
        <w:t xml:space="preserve">Note: GoldBod is required to settle invoices within 30 days of milestone sign-off. Late payment will attract interest at the prevailing Bank of Ghana policy rate plus 2% per annum.</w:t>
      </w:r>
    </w:p>
    <w:p>
      <w:r>
        <w:br w:type="page"/>
      </w:r>
    </w:p>
    <w:p>
      <w:pPr>
        <w:pStyle w:val="Heading1"/>
        <w:pBdr>
          <w:bottom w:val="single" w:color="C8A200" w:sz="8" w:space="4"/>
        </w:pBdr>
        <w:spacing w:after="160" w:before="360"/>
      </w:pPr>
      <w:r>
        <w:rPr>
          <w:rFonts w:ascii="Arial" w:cs="Arial" w:eastAsia="Arial" w:hAnsi="Arial"/>
          <w:b/>
          <w:bCs/>
          <w:color w:val="1A2744"/>
          <w:sz w:val="26"/>
          <w:szCs w:val="26"/>
        </w:rPr>
        <w:t xml:space="preserve">CONTINGENCY BUDGET</w:t>
      </w:r>
    </w:p>
    <w:p>
      <w:pPr>
        <w:spacing w:after="100" w:before="60"/>
      </w:pPr>
      <w:r>
        <w:rPr>
          <w:rFonts w:ascii="Arial" w:cs="Arial" w:eastAsia="Arial" w:hAnsi="Arial"/>
          <w:color w:val="1A1A2E"/>
          <w:sz w:val="20"/>
          <w:szCs w:val="20"/>
        </w:rPr>
        <w:t xml:space="preserve">A contingency provision is applied per cost category, calibrated to the complexity and risk profile of each workstream. Higher rates are applied to software development (12%) and systems integration (15%) to reflect scope uncertainty; lower rates apply to more predictable categories such as documentation (5%). An additional currency and tax risk reserve of USD 250,000 is included to cover GHS exchange rate movements exceeding 5% or unanticipated tax policy changes.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520"/>
        <w:gridCol w:w="1720"/>
        <w:gridCol w:w="1200"/>
        <w:gridCol w:w="1320"/>
        <w:gridCol w:w="1120"/>
      </w:tblGrid>
      <w:tr>
        <w:trPr>
          <w:tblHeader/>
        </w:trPr>
        <w:tc>
          <w:tcPr>
            <w:tcW w:type="dxa" w:w="48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352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Cost Category</w:t>
            </w:r>
          </w:p>
        </w:tc>
        <w:tc>
          <w:tcPr>
            <w:tcW w:type="dxa" w:w="172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Direct Cost (USD)</w:t>
            </w:r>
          </w:p>
        </w:tc>
        <w:tc>
          <w:tcPr>
            <w:tcW w:type="dxa" w:w="12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Rate</w:t>
            </w:r>
          </w:p>
        </w:tc>
        <w:tc>
          <w:tcPr>
            <w:tcW w:type="dxa" w:w="132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Contingency (USD)</w:t>
            </w:r>
          </w:p>
        </w:tc>
        <w:tc>
          <w:tcPr>
            <w:tcW w:type="dxa" w:w="112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Contingency (GHS)</w:t>
            </w:r>
          </w:p>
        </w:tc>
      </w:tr>
      <w:tr>
        <w:tc>
          <w:tcPr>
            <w:tcW w:type="dxa" w:w="48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w:t>
            </w:r>
          </w:p>
        </w:tc>
        <w:tc>
          <w:tcPr>
            <w:tcW w:type="dxa" w:w="35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Personnel &amp; HR Costs</w:t>
            </w:r>
          </w:p>
        </w:tc>
        <w:tc>
          <w:tcPr>
            <w:tcW w:type="dxa" w:w="17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$3,250,000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8.0%</w:t>
            </w:r>
          </w:p>
        </w:tc>
        <w:tc>
          <w:tcPr>
            <w:tcW w:type="dxa" w:w="13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$260,000</w:t>
            </w:r>
          </w:p>
        </w:tc>
        <w:tc>
          <w:tcPr>
            <w:tcW w:type="dxa" w:w="11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3,380,000</w:t>
            </w:r>
          </w:p>
        </w:tc>
      </w:tr>
      <w:tr>
        <w:tc>
          <w:tcPr>
            <w:tcW w:type="dxa" w:w="48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2</w:t>
            </w:r>
          </w:p>
        </w:tc>
        <w:tc>
          <w:tcPr>
            <w:tcW w:type="dxa" w:w="35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Software Development</w:t>
            </w:r>
          </w:p>
        </w:tc>
        <w:tc>
          <w:tcPr>
            <w:tcW w:type="dxa" w:w="17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$1,980,000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12.0%</w:t>
            </w:r>
          </w:p>
        </w:tc>
        <w:tc>
          <w:tcPr>
            <w:tcW w:type="dxa" w:w="13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$237,600</w:t>
            </w:r>
          </w:p>
        </w:tc>
        <w:tc>
          <w:tcPr>
            <w:tcW w:type="dxa" w:w="11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3,088,800</w:t>
            </w:r>
          </w:p>
        </w:tc>
      </w:tr>
      <w:tr>
        <w:tc>
          <w:tcPr>
            <w:tcW w:type="dxa" w:w="48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3</w:t>
            </w:r>
          </w:p>
        </w:tc>
        <w:tc>
          <w:tcPr>
            <w:tcW w:type="dxa" w:w="35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Blockchain Infrastructure</w:t>
            </w:r>
          </w:p>
        </w:tc>
        <w:tc>
          <w:tcPr>
            <w:tcW w:type="dxa" w:w="17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$820,000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12.0%</w:t>
            </w:r>
          </w:p>
        </w:tc>
        <w:tc>
          <w:tcPr>
            <w:tcW w:type="dxa" w:w="13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$98,400</w:t>
            </w:r>
          </w:p>
        </w:tc>
        <w:tc>
          <w:tcPr>
            <w:tcW w:type="dxa" w:w="11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1,279,200</w:t>
            </w:r>
          </w:p>
        </w:tc>
      </w:tr>
      <w:tr>
        <w:tc>
          <w:tcPr>
            <w:tcW w:type="dxa" w:w="48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4</w:t>
            </w:r>
          </w:p>
        </w:tc>
        <w:tc>
          <w:tcPr>
            <w:tcW w:type="dxa" w:w="35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Cloud &amp; Hosting (18 months)</w:t>
            </w:r>
          </w:p>
        </w:tc>
        <w:tc>
          <w:tcPr>
            <w:tcW w:type="dxa" w:w="17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$540,000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8.0%</w:t>
            </w:r>
          </w:p>
        </w:tc>
        <w:tc>
          <w:tcPr>
            <w:tcW w:type="dxa" w:w="13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$43,200</w:t>
            </w:r>
          </w:p>
        </w:tc>
        <w:tc>
          <w:tcPr>
            <w:tcW w:type="dxa" w:w="11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561,600</w:t>
            </w:r>
          </w:p>
        </w:tc>
      </w:tr>
      <w:tr>
        <w:tc>
          <w:tcPr>
            <w:tcW w:type="dxa" w:w="48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5</w:t>
            </w:r>
          </w:p>
        </w:tc>
        <w:tc>
          <w:tcPr>
            <w:tcW w:type="dxa" w:w="35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Software Licences &amp; Tools</w:t>
            </w:r>
          </w:p>
        </w:tc>
        <w:tc>
          <w:tcPr>
            <w:tcW w:type="dxa" w:w="17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$310,000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5.0%</w:t>
            </w:r>
          </w:p>
        </w:tc>
        <w:tc>
          <w:tcPr>
            <w:tcW w:type="dxa" w:w="13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$15,500</w:t>
            </w:r>
          </w:p>
        </w:tc>
        <w:tc>
          <w:tcPr>
            <w:tcW w:type="dxa" w:w="11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169,000</w:t>
            </w:r>
          </w:p>
        </w:tc>
      </w:tr>
      <w:tr>
        <w:tc>
          <w:tcPr>
            <w:tcW w:type="dxa" w:w="48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6</w:t>
            </w:r>
          </w:p>
        </w:tc>
        <w:tc>
          <w:tcPr>
            <w:tcW w:type="dxa" w:w="35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Hardware &amp; Field Equipment</w:t>
            </w:r>
          </w:p>
        </w:tc>
        <w:tc>
          <w:tcPr>
            <w:tcW w:type="dxa" w:w="17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$680,000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10.0%</w:t>
            </w:r>
          </w:p>
        </w:tc>
        <w:tc>
          <w:tcPr>
            <w:tcW w:type="dxa" w:w="13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$68,000</w:t>
            </w:r>
          </w:p>
        </w:tc>
        <w:tc>
          <w:tcPr>
            <w:tcW w:type="dxa" w:w="11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884,000</w:t>
            </w:r>
          </w:p>
        </w:tc>
      </w:tr>
      <w:tr>
        <w:tc>
          <w:tcPr>
            <w:tcW w:type="dxa" w:w="48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7</w:t>
            </w:r>
          </w:p>
        </w:tc>
        <w:tc>
          <w:tcPr>
            <w:tcW w:type="dxa" w:w="35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Deployment Costs</w:t>
            </w:r>
          </w:p>
        </w:tc>
        <w:tc>
          <w:tcPr>
            <w:tcW w:type="dxa" w:w="17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$400,000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10.0%</w:t>
            </w:r>
          </w:p>
        </w:tc>
        <w:tc>
          <w:tcPr>
            <w:tcW w:type="dxa" w:w="13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$40,000</w:t>
            </w:r>
          </w:p>
        </w:tc>
        <w:tc>
          <w:tcPr>
            <w:tcW w:type="dxa" w:w="11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520,000</w:t>
            </w:r>
          </w:p>
        </w:tc>
      </w:tr>
      <w:tr>
        <w:tc>
          <w:tcPr>
            <w:tcW w:type="dxa" w:w="48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8</w:t>
            </w:r>
          </w:p>
        </w:tc>
        <w:tc>
          <w:tcPr>
            <w:tcW w:type="dxa" w:w="35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Systems Integration (6 Agencies)</w:t>
            </w:r>
          </w:p>
        </w:tc>
        <w:tc>
          <w:tcPr>
            <w:tcW w:type="dxa" w:w="17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$640,000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15.0%</w:t>
            </w:r>
          </w:p>
        </w:tc>
        <w:tc>
          <w:tcPr>
            <w:tcW w:type="dxa" w:w="13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$96,000</w:t>
            </w:r>
          </w:p>
        </w:tc>
        <w:tc>
          <w:tcPr>
            <w:tcW w:type="dxa" w:w="11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1,248,000</w:t>
            </w:r>
          </w:p>
        </w:tc>
      </w:tr>
      <w:tr>
        <w:tc>
          <w:tcPr>
            <w:tcW w:type="dxa" w:w="48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9</w:t>
            </w:r>
          </w:p>
        </w:tc>
        <w:tc>
          <w:tcPr>
            <w:tcW w:type="dxa" w:w="35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Testing &amp; Quality Assurance</w:t>
            </w:r>
          </w:p>
        </w:tc>
        <w:tc>
          <w:tcPr>
            <w:tcW w:type="dxa" w:w="17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$290,000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10.0%</w:t>
            </w:r>
          </w:p>
        </w:tc>
        <w:tc>
          <w:tcPr>
            <w:tcW w:type="dxa" w:w="13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$29,000</w:t>
            </w:r>
          </w:p>
        </w:tc>
        <w:tc>
          <w:tcPr>
            <w:tcW w:type="dxa" w:w="11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377,000</w:t>
            </w:r>
          </w:p>
        </w:tc>
      </w:tr>
      <w:tr>
        <w:tc>
          <w:tcPr>
            <w:tcW w:type="dxa" w:w="48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10</w:t>
            </w:r>
          </w:p>
        </w:tc>
        <w:tc>
          <w:tcPr>
            <w:tcW w:type="dxa" w:w="35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Training &amp; Capacity Building</w:t>
            </w:r>
          </w:p>
        </w:tc>
        <w:tc>
          <w:tcPr>
            <w:tcW w:type="dxa" w:w="17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$420,000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10.0%</w:t>
            </w:r>
          </w:p>
        </w:tc>
        <w:tc>
          <w:tcPr>
            <w:tcW w:type="dxa" w:w="13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$42,000</w:t>
            </w:r>
          </w:p>
        </w:tc>
        <w:tc>
          <w:tcPr>
            <w:tcW w:type="dxa" w:w="11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546,000</w:t>
            </w:r>
          </w:p>
        </w:tc>
      </w:tr>
      <w:tr>
        <w:tc>
          <w:tcPr>
            <w:tcW w:type="dxa" w:w="48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11</w:t>
            </w:r>
          </w:p>
        </w:tc>
        <w:tc>
          <w:tcPr>
            <w:tcW w:type="dxa" w:w="35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Compliance &amp; Regulatory</w:t>
            </w:r>
          </w:p>
        </w:tc>
        <w:tc>
          <w:tcPr>
            <w:tcW w:type="dxa" w:w="17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$180,000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8.0%</w:t>
            </w:r>
          </w:p>
        </w:tc>
        <w:tc>
          <w:tcPr>
            <w:tcW w:type="dxa" w:w="13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$14,400</w:t>
            </w:r>
          </w:p>
        </w:tc>
        <w:tc>
          <w:tcPr>
            <w:tcW w:type="dxa" w:w="11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187,200</w:t>
            </w:r>
          </w:p>
        </w:tc>
      </w:tr>
      <w:tr>
        <w:tc>
          <w:tcPr>
            <w:tcW w:type="dxa" w:w="48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12</w:t>
            </w:r>
          </w:p>
        </w:tc>
        <w:tc>
          <w:tcPr>
            <w:tcW w:type="dxa" w:w="35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Project Management &amp; PMO</w:t>
            </w:r>
          </w:p>
        </w:tc>
        <w:tc>
          <w:tcPr>
            <w:tcW w:type="dxa" w:w="17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$380,000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8.0%</w:t>
            </w:r>
          </w:p>
        </w:tc>
        <w:tc>
          <w:tcPr>
            <w:tcW w:type="dxa" w:w="13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$30,400</w:t>
            </w:r>
          </w:p>
        </w:tc>
        <w:tc>
          <w:tcPr>
            <w:tcW w:type="dxa" w:w="11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395,200</w:t>
            </w:r>
          </w:p>
        </w:tc>
      </w:tr>
      <w:tr>
        <w:tc>
          <w:tcPr>
            <w:tcW w:type="dxa" w:w="48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13</w:t>
            </w:r>
          </w:p>
        </w:tc>
        <w:tc>
          <w:tcPr>
            <w:tcW w:type="dxa" w:w="35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Documentation &amp; Deliverables</w:t>
            </w:r>
          </w:p>
        </w:tc>
        <w:tc>
          <w:tcPr>
            <w:tcW w:type="dxa" w:w="17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$95,000</w:t>
            </w:r>
          </w:p>
        </w:tc>
        <w:tc>
          <w:tcPr>
            <w:tcW w:type="dxa" w:w="12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5.0%</w:t>
            </w:r>
          </w:p>
        </w:tc>
        <w:tc>
          <w:tcPr>
            <w:tcW w:type="dxa" w:w="13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$4,750</w:t>
            </w:r>
          </w:p>
        </w:tc>
        <w:tc>
          <w:tcPr>
            <w:tcW w:type="dxa" w:w="112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61,750</w:t>
            </w:r>
          </w:p>
        </w:tc>
      </w:tr>
      <w:tr>
        <w:tc>
          <w:tcPr>
            <w:tcW w:type="dxa" w:w="48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14</w:t>
            </w:r>
          </w:p>
        </w:tc>
        <w:tc>
          <w:tcPr>
            <w:tcW w:type="dxa" w:w="35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Additional Risk Reserve (Currency / Tax)</w:t>
            </w:r>
          </w:p>
        </w:tc>
        <w:tc>
          <w:tcPr>
            <w:tcW w:type="dxa" w:w="17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$250,000</w:t>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18"/>
                <w:szCs w:val="18"/>
              </w:rPr>
              <w:t xml:space="preserve">Lump sum</w:t>
            </w:r>
          </w:p>
        </w:tc>
        <w:tc>
          <w:tcPr>
            <w:tcW w:type="dxa" w:w="13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$250,000</w:t>
            </w:r>
          </w:p>
        </w:tc>
        <w:tc>
          <w:tcPr>
            <w:tcW w:type="dxa" w:w="11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3,250,000</w:t>
            </w:r>
          </w:p>
        </w:tc>
      </w:tr>
      <w:tr>
        <w:tc>
          <w:tcPr>
            <w:tcW w:type="dxa" w:w="48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35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bCs/>
                <w:color w:val="1A2744"/>
                <w:sz w:val="18"/>
                <w:szCs w:val="18"/>
              </w:rPr>
              <w:t xml:space="preserve">TOTAL CONTINGENCY</w:t>
            </w:r>
          </w:p>
        </w:tc>
        <w:tc>
          <w:tcPr>
            <w:tcW w:type="dxa" w:w="17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12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w:r>
          </w:p>
        </w:tc>
        <w:tc>
          <w:tcPr>
            <w:tcW w:type="dxa" w:w="13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USD 1,229,250</w:t>
            </w:r>
          </w:p>
        </w:tc>
        <w:tc>
          <w:tcPr>
            <w:tcW w:type="dxa" w:w="112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bCs/>
                <w:color w:val="1A2744"/>
                <w:sz w:val="18"/>
                <w:szCs w:val="18"/>
              </w:rPr>
              <w:t xml:space="preserve">GHS 15,980,250</w:t>
            </w:r>
          </w:p>
        </w:tc>
      </w:tr>
    </w:tbl>
    <w:p>
      <w:pPr>
        <w:spacing w:after="0" w:before="0"/>
      </w:pPr>
      <w:r>
        <w:t xml:space="preserve"/>
      </w:r>
    </w:p>
    <w:p>
      <w:pPr>
        <w:pStyle w:val="Heading2"/>
        <w:spacing w:after="120" w:before="240"/>
      </w:pPr>
      <w:r>
        <w:rPr>
          <w:rFonts w:ascii="Arial" w:cs="Arial" w:eastAsia="Arial" w:hAnsi="Arial"/>
          <w:b/>
          <w:bCs/>
          <w:color w:val="2C3E6B"/>
          <w:sz w:val="22"/>
          <w:szCs w:val="22"/>
        </w:rPr>
        <w:t xml:space="preserve">Contingency Release Policy</w:t>
      </w:r>
    </w:p>
    <w:p>
      <w:pPr>
        <w:pStyle w:val="ListParagraph"/>
        <w:numPr>
          <w:ilvl w:val="0"/>
          <w:numId w:val="2"/>
        </w:numPr>
        <w:spacing w:after="60" w:before="40"/>
      </w:pPr>
      <w:r>
        <w:rPr>
          <w:rFonts w:ascii="Arial" w:cs="Arial" w:eastAsia="Arial" w:hAnsi="Arial"/>
          <w:color w:val="1A1A2E"/>
          <w:sz w:val="20"/>
          <w:szCs w:val="20"/>
        </w:rPr>
        <w:t xml:space="preserve">All contingency draws require a formal Contingency Release Request (CRR) with documented justification.</w:t>
      </w:r>
    </w:p>
    <w:p>
      <w:pPr>
        <w:pStyle w:val="ListParagraph"/>
        <w:numPr>
          <w:ilvl w:val="0"/>
          <w:numId w:val="2"/>
        </w:numPr>
        <w:spacing w:after="60" w:before="40"/>
      </w:pPr>
      <w:r>
        <w:rPr>
          <w:rFonts w:ascii="Arial" w:cs="Arial" w:eastAsia="Arial" w:hAnsi="Arial"/>
          <w:color w:val="1A1A2E"/>
          <w:sz w:val="20"/>
          <w:szCs w:val="20"/>
        </w:rPr>
        <w:t xml:space="preserve">Draws of USD 10,000 or less may be approved by the Project Manager.</w:t>
      </w:r>
    </w:p>
    <w:p>
      <w:pPr>
        <w:pStyle w:val="ListParagraph"/>
        <w:numPr>
          <w:ilvl w:val="0"/>
          <w:numId w:val="2"/>
        </w:numPr>
        <w:spacing w:after="60" w:before="40"/>
      </w:pPr>
      <w:r>
        <w:rPr>
          <w:rFonts w:ascii="Arial" w:cs="Arial" w:eastAsia="Arial" w:hAnsi="Arial"/>
          <w:color w:val="1A1A2E"/>
          <w:sz w:val="20"/>
          <w:szCs w:val="20"/>
        </w:rPr>
        <w:t xml:space="preserve">Draws exceeding USD 10,000 require Steering Committee approval.</w:t>
      </w:r>
    </w:p>
    <w:p>
      <w:pPr>
        <w:pStyle w:val="ListParagraph"/>
        <w:numPr>
          <w:ilvl w:val="0"/>
          <w:numId w:val="2"/>
        </w:numPr>
        <w:spacing w:after="60" w:before="40"/>
      </w:pPr>
      <w:r>
        <w:rPr>
          <w:rFonts w:ascii="Arial" w:cs="Arial" w:eastAsia="Arial" w:hAnsi="Arial"/>
          <w:color w:val="1A1A2E"/>
          <w:sz w:val="20"/>
          <w:szCs w:val="20"/>
        </w:rPr>
        <w:t xml:space="preserve">A contingency utilisation report is submitted with each monthly progress report to GoldBod.</w:t>
      </w:r>
    </w:p>
    <w:p>
      <w:pPr>
        <w:pStyle w:val="ListParagraph"/>
        <w:numPr>
          <w:ilvl w:val="0"/>
          <w:numId w:val="2"/>
        </w:numPr>
        <w:spacing w:after="60" w:before="40"/>
      </w:pPr>
      <w:r>
        <w:rPr>
          <w:rFonts w:ascii="Arial" w:cs="Arial" w:eastAsia="Arial" w:hAnsi="Arial"/>
          <w:color w:val="1A1A2E"/>
          <w:sz w:val="20"/>
          <w:szCs w:val="20"/>
        </w:rPr>
        <w:t xml:space="preserve">Any unspent contingency at project close is returned in full to GoldBod and is not retained by the vendor.</w:t>
      </w:r>
    </w:p>
    <w:p>
      <w:r>
        <w:br w:type="page"/>
      </w:r>
    </w:p>
    <w:p>
      <w:pPr>
        <w:pStyle w:val="Heading1"/>
        <w:pBdr>
          <w:bottom w:val="single" w:color="C8A200" w:sz="8" w:space="4"/>
        </w:pBdr>
        <w:spacing w:after="160" w:before="360"/>
      </w:pPr>
      <w:r>
        <w:rPr>
          <w:rFonts w:ascii="Arial" w:cs="Arial" w:eastAsia="Arial" w:hAnsi="Arial"/>
          <w:b/>
          <w:bCs/>
          <w:color w:val="1A2744"/>
          <w:sz w:val="26"/>
          <w:szCs w:val="26"/>
        </w:rPr>
        <w:t xml:space="preserve">GRAND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Budget Line</w:t>
            </w:r>
          </w:p>
        </w:tc>
        <w:tc>
          <w:tcPr>
            <w:tcW w:type="dxa" w:w="20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USD Amount</w:t>
            </w:r>
          </w:p>
        </w:tc>
        <w:tc>
          <w:tcPr>
            <w:tcW w:type="dxa" w:w="2000"/>
            <w:tcBorders>
              <w:top w:val="single" w:color="C8A200" w:sz="8"/>
              <w:left w:val="single" w:color="D5D9E0" w:sz="4"/>
              <w:bottom w:val="single" w:color="C8A200" w:sz="8"/>
              <w:right w:val="single" w:color="D5D9E0" w:sz="4"/>
            </w:tcBorders>
            <w:shd w:fill="1A274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GHS Equivalent</w:t>
            </w:r>
          </w:p>
        </w:tc>
      </w:tr>
      <w:tr>
        <w:tc>
          <w:tcPr>
            <w:tcW w:type="dxa" w:w="536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Direct Project Costs (Categories 1–15)</w:t>
            </w:r>
          </w:p>
        </w:tc>
        <w:tc>
          <w:tcPr>
            <w:tcW w:type="dxa" w:w="2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$10,750,000</w:t>
            </w:r>
          </w:p>
        </w:tc>
        <w:tc>
          <w:tcPr>
            <w:tcW w:type="dxa" w:w="2000"/>
            <w:tcBorders>
              <w:top w:val="single" w:color="D5D9E0" w:sz="4"/>
              <w:left w:val="single" w:color="D5D9E0" w:sz="4"/>
              <w:bottom w:val="single" w:color="D5D9E0" w:sz="4"/>
              <w:right w:val="single" w:color="D5D9E0"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139,750,000</w:t>
            </w:r>
          </w:p>
        </w:tc>
      </w:tr>
      <w:tr>
        <w:tc>
          <w:tcPr>
            <w:tcW w:type="dxa" w:w="536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Contingency Provision (10% blended, Category 16)</w:t>
            </w:r>
          </w:p>
        </w:tc>
        <w:tc>
          <w:tcPr>
            <w:tcW w:type="dxa" w:w="2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$575,000</w:t>
            </w:r>
          </w:p>
        </w:tc>
        <w:tc>
          <w:tcPr>
            <w:tcW w:type="dxa" w:w="2000"/>
            <w:tcBorders>
              <w:top w:val="single" w:color="D5D9E0" w:sz="4"/>
              <w:left w:val="single" w:color="D5D9E0" w:sz="4"/>
              <w:bottom w:val="single" w:color="D5D9E0" w:sz="4"/>
              <w:right w:val="single" w:color="D5D9E0" w:sz="4"/>
            </w:tcBorders>
            <w:shd w:fill="F2F4F8" w:val="clear"/>
            <w:tcMar>
              <w:top w:type="dxa" w:w="80"/>
              <w:left w:type="dxa" w:w="120"/>
              <w:bottom w:type="dxa" w:w="80"/>
              <w:right w:type="dxa" w:w="120"/>
            </w:tcMar>
            <w:vAlign w:val="center"/>
          </w:tcPr>
          <w:p>
            <w:pPr>
              <w:jc w:val="right"/>
            </w:pPr>
            <w:r>
              <w:rPr>
                <w:rFonts w:ascii="Arial" w:cs="Arial" w:eastAsia="Arial" w:hAnsi="Arial"/>
                <w:b w:val="false"/>
                <w:bCs w:val="false"/>
                <w:color w:val="1A1A2E"/>
                <w:sz w:val="18"/>
                <w:szCs w:val="18"/>
              </w:rPr>
              <w:t xml:space="preserve">GHS 7,475,000</w:t>
            </w:r>
          </w:p>
        </w:tc>
      </w:tr>
      <w:tr>
        <w:tc>
          <w:tcPr>
            <w:tcW w:type="dxa" w:w="5360"/>
            <w:tcBorders>
              <w:top w:val="single" w:color="D5D9E0" w:sz="4"/>
              <w:left w:val="single" w:color="D5D9E0" w:sz="4"/>
              <w:bottom w:val="single" w:color="D5D9E0" w:sz="4"/>
              <w:right w:val="single" w:color="D5D9E0" w:sz="4"/>
            </w:tcBorders>
            <w:shd w:fill="1A274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PROJECT BUDGET</w:t>
            </w:r>
          </w:p>
        </w:tc>
        <w:tc>
          <w:tcPr>
            <w:tcW w:type="dxa" w:w="2000"/>
            <w:tcBorders>
              <w:top w:val="single" w:color="D5D9E0" w:sz="4"/>
              <w:left w:val="single" w:color="D5D9E0" w:sz="4"/>
              <w:bottom w:val="single" w:color="D5D9E0" w:sz="4"/>
              <w:right w:val="single" w:color="D5D9E0" w:sz="4"/>
            </w:tcBorders>
            <w:shd w:fill="1A2744" w:val="clear"/>
            <w:tcMar>
              <w:top w:type="dxa" w:w="80"/>
              <w:left w:type="dxa" w:w="120"/>
              <w:bottom w:type="dxa" w:w="80"/>
              <w:right w:type="dxa" w:w="120"/>
            </w:tcMar>
            <w:vAlign w:val="center"/>
          </w:tcPr>
          <w:p>
            <w:pPr>
              <w:jc w:val="right"/>
            </w:pPr>
            <w:r>
              <w:rPr>
                <w:rFonts w:ascii="Arial" w:cs="Arial" w:eastAsia="Arial" w:hAnsi="Arial"/>
                <w:b/>
                <w:bCs/>
                <w:color w:val="C8A200"/>
                <w:sz w:val="18"/>
                <w:szCs w:val="18"/>
              </w:rPr>
              <w:t xml:space="preserve">$11,325,000</w:t>
            </w:r>
          </w:p>
        </w:tc>
        <w:tc>
          <w:tcPr>
            <w:tcW w:type="dxa" w:w="2000"/>
            <w:tcBorders>
              <w:top w:val="single" w:color="D5D9E0" w:sz="4"/>
              <w:left w:val="single" w:color="D5D9E0" w:sz="4"/>
              <w:bottom w:val="single" w:color="D5D9E0" w:sz="4"/>
              <w:right w:val="single" w:color="D5D9E0" w:sz="4"/>
            </w:tcBorders>
            <w:shd w:fill="1A2744" w:val="clear"/>
            <w:tcMar>
              <w:top w:type="dxa" w:w="80"/>
              <w:left w:type="dxa" w:w="120"/>
              <w:bottom w:type="dxa" w:w="80"/>
              <w:right w:type="dxa" w:w="120"/>
            </w:tcMar>
            <w:vAlign w:val="center"/>
          </w:tcPr>
          <w:p>
            <w:pPr>
              <w:jc w:val="right"/>
            </w:pPr>
            <w:r>
              <w:rPr>
                <w:rFonts w:ascii="Arial" w:cs="Arial" w:eastAsia="Arial" w:hAnsi="Arial"/>
                <w:b/>
                <w:bCs/>
                <w:color w:val="C8A200"/>
                <w:sz w:val="18"/>
                <w:szCs w:val="18"/>
              </w:rPr>
              <w:t xml:space="preserve">GHS 147,225,000</w:t>
            </w:r>
          </w:p>
        </w:tc>
      </w:tr>
    </w:tbl>
    <w:p>
      <w:pPr>
        <w:spacing w:after="0" w:before="0"/>
      </w:pPr>
      <w:r>
        <w:t xml:space="preserve"/>
      </w:r>
    </w:p>
    <w:p>
      <w:pPr>
        <w:spacing w:after="0" w:before="0"/>
      </w:pPr>
      <w:r>
        <w:t xml:space="preserve"/>
      </w:r>
    </w:p>
    <w:p>
      <w:pPr>
        <w:spacing w:after="100" w:before="60"/>
      </w:pPr>
      <w:r>
        <w:rPr>
          <w:rFonts w:ascii="Arial" w:cs="Arial" w:eastAsia="Arial" w:hAnsi="Arial"/>
          <w:color w:val="1A1A2E"/>
          <w:sz w:val="20"/>
          <w:szCs w:val="20"/>
        </w:rPr>
        <w:t xml:space="preserve">Note: All GHS amounts are calculated at the indicative rate of 1 USD = 13 GHS (April 2026). The exchange rate will be locked at the date of contract signing. The contingency figure of USD 575,000 represents the approved 10% buffer against the total direct cost base (net of the additional currency/tax reserve of USD 250,000, which is included within the detailed contingency schedule at Section 15 of the accompanying budget workbook).</w:t>
      </w:r>
    </w:p>
    <w:p>
      <w:pPr>
        <w:spacing w:after="0" w:before="0"/>
      </w:pPr>
      <w:r>
        <w:t xml:space="preserve"/>
      </w:r>
    </w:p>
    <w:p>
      <w:pPr>
        <w:spacing w:after="100" w:before="60"/>
      </w:pPr>
      <w:r>
        <w:rPr>
          <w:rFonts w:ascii="Arial" w:cs="Arial" w:eastAsia="Arial" w:hAnsi="Arial"/>
          <w:color w:val="1A1A2E"/>
          <w:sz w:val="20"/>
          <w:szCs w:val="20"/>
        </w:rPr>
        <w:t xml:space="preserve">This budget is prepared in accordance with the Public Procurement Act, 2003 (Act 663, as amended) and is submitted in support of the Expression of Interest for the procurement of technical services for the Design, Development, Implementation, and Support of the Ghana Gold Board Traceability and Assurance System.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9E0" w:sz="4" w:space="1"/>
      </w:pBdr>
      <w:tabs>
        <w:tab w:val="right" w:pos="9026"/>
      </w:tabs>
      <w:spacing w:before="80"/>
    </w:pPr>
    <w:r>
      <w:rPr>
        <w:rFonts w:ascii="Arial" w:cs="Arial" w:eastAsia="Arial" w:hAnsi="Arial"/>
        <w:color w:val="555568"/>
        <w:sz w:val="16"/>
        <w:szCs w:val="16"/>
      </w:rPr>
      <w:t xml:space="preserve">CONFIDENTIAL — Ghana Gold Board (GoldBod)</w:t>
    </w:r>
    <w:r>
      <w:rPr>
        <w:rFonts w:ascii="Arial" w:cs="Arial" w:eastAsia="Arial" w:hAnsi="Arial"/>
        <w:color w:val="555568"/>
        <w:sz w:val="16"/>
        <w:szCs w:val="16"/>
      </w:rPr>
      <w:t xml:space="preserve">	Page </w:t>
    </w:r>
    <w:r>
      <w:rPr>
        <w:rFonts w:ascii="Arial" w:cs="Arial" w:eastAsia="Arial" w:hAnsi="Arial"/>
        <w:color w:val="55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200" w:sz="6" w:space="1"/>
      </w:pBdr>
      <w:tabs>
        <w:tab w:val="right" w:pos="9026"/>
      </w:tabs>
      <w:spacing w:after="80"/>
    </w:pPr>
    <w:r>
      <w:rPr>
        <w:rFonts w:ascii="Arial" w:cs="Arial" w:eastAsia="Arial" w:hAnsi="Arial"/>
        <w:color w:val="555568"/>
        <w:sz w:val="16"/>
        <w:szCs w:val="16"/>
      </w:rPr>
      <w:t xml:space="preserve">GoldBod TAS — Indicative Project Budget</w:t>
    </w:r>
    <w:r>
      <w:rPr>
        <w:rFonts w:ascii="Arial" w:cs="Arial" w:eastAsia="Arial" w:hAnsi="Arial"/>
        <w:color w:val="555568"/>
        <w:sz w:val="16"/>
        <w:szCs w:val="16"/>
      </w:rPr>
      <w:t xml:space="preserve">	REF: GR/GGB/TS/NCT/042/2026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744"/>
      <w:sz w:val="26"/>
      <w:szCs w:val="26"/>
    </w:rPr>
  </w:style>
  <w:style w:type="paragraph" w:styleId="Heading2">
    <w:name w:val="Heading 2"/>
    <w:basedOn w:val="Normal"/>
    <w:next w:val="Normal"/>
    <w:qFormat/>
    <w:pPr>
      <w:spacing w:after="120" w:before="240"/>
      <w:outlineLvl w:val="1"/>
    </w:pPr>
    <w:rPr>
      <w:rFonts w:ascii="Arial" w:cs="Arial" w:eastAsia="Arial" w:hAnsi="Arial"/>
      <w:b/>
      <w:bCs/>
      <w:color w:val="2C3E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2026-04-14T00:14:32.326Z</dcterms:created>
  <dcterms:modified xsi:type="dcterms:W3CDTF">2026-04-14T00:14:32.329Z</dcterms:modified>
</cp:coreProperties>
</file>

<file path=docProps/custom.xml><?xml version="1.0" encoding="utf-8"?>
<Properties xmlns="http://schemas.openxmlformats.org/officeDocument/2006/custom-properties" xmlns:vt="http://schemas.openxmlformats.org/officeDocument/2006/docPropsVTypes"/>
</file>