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80"/>
        <w:gridCol w:w="2460"/>
        <w:gridCol w:w="3120"/>
        <w:tblGridChange w:id="0">
          <w:tblGrid>
            <w:gridCol w:w="3780"/>
            <w:gridCol w:w="246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2b40" w:val="clear"/>
            <w:tcMar>
              <w:top w:w="560.0" w:type="dxa"/>
              <w:left w:w="560.0" w:type="dxa"/>
              <w:bottom w:w="560.0" w:type="dxa"/>
              <w:right w:w="560.0" w:type="dxa"/>
            </w:tcMar>
          </w:tcPr>
          <w:p w:rsidR="00000000" w:rsidDel="00000000" w:rsidP="00000000" w:rsidRDefault="00000000" w:rsidRPr="00000000" w14:paraId="00000002">
            <w:pPr>
              <w:spacing w:after="80" w:line="240" w:lineRule="auto"/>
              <w:jc w:val="center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922a"/>
                <w:sz w:val="40"/>
                <w:szCs w:val="40"/>
                <w:rtl w:val="0"/>
              </w:rPr>
              <w:t xml:space="preserve">BrandWatch Africa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40" w:line="240" w:lineRule="auto"/>
              <w:jc w:val="center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SIGNAL Reputation Intelligence Platform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120" w:line="240" w:lineRule="auto"/>
              <w:jc w:val="center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Proposal to the Ghana Chamber of Mines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aaaaaa"/>
                <w:rtl w:val="0"/>
              </w:rPr>
              <w:t xml:space="preserve">AI-Powered Reputation, Community Sentiment &amp; ESG Intelligence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d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Prepared for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0"/>
                <w:sz w:val="20"/>
                <w:szCs w:val="20"/>
                <w:rtl w:val="0"/>
              </w:rPr>
              <w:t xml:space="preserve">Ghana Chamber of Mines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d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0"/>
                <w:sz w:val="20"/>
                <w:szCs w:val="20"/>
                <w:rtl w:val="0"/>
              </w:rPr>
              <w:t xml:space="preserve">BrandWatch Africa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d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0"/>
                <w:sz w:val="20"/>
                <w:szCs w:val="20"/>
                <w:rtl w:val="0"/>
              </w:rPr>
              <w:t xml:space="preserve">June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before="40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pBdr>
          <w:bottom w:color="c9922a" w:space="6" w:sz="4" w:val="single"/>
        </w:pBdr>
        <w:spacing w:after="160" w:before="360" w:line="240" w:lineRule="auto"/>
        <w:rPr>
          <w:rFonts w:ascii="Arial" w:cs="Arial" w:eastAsia="Arial" w:hAnsi="Arial"/>
          <w:color w:val="1a2b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pBdr>
          <w:bottom w:color="c9922a" w:space="6" w:sz="4" w:val="single"/>
        </w:pBdr>
        <w:spacing w:after="160" w:before="360" w:line="240" w:lineRule="auto"/>
        <w:rPr>
          <w:rFonts w:ascii="Arial" w:cs="Arial" w:eastAsia="Arial" w:hAnsi="Arial"/>
          <w:color w:val="1a2b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pBdr>
          <w:bottom w:color="c9922a" w:space="6" w:sz="4" w:val="single"/>
        </w:pBdr>
        <w:spacing w:after="160" w:before="360" w:line="240" w:lineRule="auto"/>
        <w:rPr>
          <w:rFonts w:ascii="Arial" w:cs="Arial" w:eastAsia="Arial" w:hAnsi="Arial"/>
          <w:color w:val="1a2b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pBdr>
          <w:bottom w:color="c9922a" w:space="6" w:sz="4" w:val="single"/>
        </w:pBdr>
        <w:spacing w:after="160" w:before="360" w:line="240" w:lineRule="auto"/>
        <w:rPr>
          <w:rFonts w:ascii="Arial" w:cs="Arial" w:eastAsia="Arial" w:hAnsi="Arial"/>
          <w:color w:val="1a2b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pBdr>
          <w:bottom w:color="c9922a" w:space="6" w:sz="4" w:val="single"/>
        </w:pBdr>
        <w:spacing w:after="160" w:before="360" w:line="240" w:lineRule="auto"/>
        <w:rPr>
          <w:rFonts w:ascii="Arial" w:cs="Arial" w:eastAsia="Arial" w:hAnsi="Arial"/>
          <w:color w:val="1a2b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pBdr>
          <w:bottom w:color="c9922a" w:space="6" w:sz="4" w:val="single"/>
        </w:pBdr>
        <w:spacing w:after="160" w:before="360" w:line="240" w:lineRule="auto"/>
        <w:rPr>
          <w:rFonts w:ascii="Arial" w:cs="Arial" w:eastAsia="Arial" w:hAnsi="Arial"/>
          <w:color w:val="1a2b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pBdr>
          <w:bottom w:color="c9922a" w:space="6" w:sz="4" w:val="single"/>
        </w:pBdr>
        <w:spacing w:after="160" w:before="360" w:line="240" w:lineRule="auto"/>
        <w:rPr>
          <w:rFonts w:ascii="Arial" w:cs="Arial" w:eastAsia="Arial" w:hAnsi="Arial"/>
          <w:color w:val="1a2b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pBdr>
          <w:bottom w:color="c9922a" w:space="6" w:sz="4" w:val="single"/>
        </w:pBdr>
        <w:spacing w:after="160" w:before="360" w:line="240" w:lineRule="auto"/>
        <w:rPr>
          <w:rFonts w:ascii="Arial" w:cs="Arial" w:eastAsia="Arial" w:hAnsi="Arial"/>
          <w:color w:val="1a2b4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a2b40"/>
          <w:sz w:val="28"/>
          <w:szCs w:val="28"/>
          <w:rtl w:val="0"/>
        </w:rPr>
        <w:t xml:space="preserve">Executive Summary</w:t>
      </w:r>
    </w:p>
    <w:p w:rsidR="00000000" w:rsidDel="00000000" w:rsidP="00000000" w:rsidRDefault="00000000" w:rsidRPr="00000000" w14:paraId="00000015">
      <w:pPr>
        <w:spacing w:after="80" w:before="8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Ghana's mining industry operates under rising community expectations, intense ESG scrutiny, and fast-moving media narratives. Yet the most important reputation signals, i.e, local radio discussions, community grievances, social media conversations, and field officer notes, remain fragmented and reactive.</w:t>
      </w:r>
    </w:p>
    <w:p w:rsidR="00000000" w:rsidDel="00000000" w:rsidP="00000000" w:rsidRDefault="00000000" w:rsidRPr="00000000" w14:paraId="00000016">
      <w:pPr>
        <w:spacing w:after="0" w:before="10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BrandWatch Africa proposes a Chamber-led AI reputation and community sentiment intelligence platform that consolidates these signals into a single, actionable system. The platform delivers:</w:t>
      </w:r>
    </w:p>
    <w:p w:rsidR="00000000" w:rsidDel="00000000" w:rsidP="00000000" w:rsidRDefault="00000000" w:rsidRPr="00000000" w14:paraId="00000018">
      <w:pPr>
        <w:spacing w:after="0" w:before="6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Multi-channel monitoring across news, social, radio, and community reports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Local-language sentiment analysis covering English, Twi, Ga, Ewe, Dagbani, Hausa, and French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Risk scoring that prioritizes issues before they escalate into crises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ESG-ready reporting for investors, boards, and sustainability disclosures</w:t>
      </w:r>
    </w:p>
    <w:p w:rsidR="00000000" w:rsidDel="00000000" w:rsidP="00000000" w:rsidRDefault="00000000" w:rsidRPr="00000000" w14:paraId="0000001D">
      <w:pPr>
        <w:spacing w:after="0" w:before="10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8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We recommend an 8–12 week pilot focused on selected mining corridors and member companies, culminating in a live dashboard, weekly briefings, and a sector rollout roadmap.</w:t>
      </w:r>
    </w:p>
    <w:p w:rsidR="00000000" w:rsidDel="00000000" w:rsidP="00000000" w:rsidRDefault="00000000" w:rsidRPr="00000000" w14:paraId="0000001F">
      <w:pPr>
        <w:spacing w:after="0" w:before="30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pBdr>
          <w:bottom w:color="c9922a" w:space="6" w:sz="4" w:val="single"/>
        </w:pBdr>
        <w:spacing w:after="160" w:before="360" w:line="240" w:lineRule="auto"/>
        <w:rPr>
          <w:rFonts w:ascii="Arial" w:cs="Arial" w:eastAsia="Arial" w:hAnsi="Arial"/>
          <w:color w:val="1a2b4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a2b40"/>
          <w:sz w:val="28"/>
          <w:szCs w:val="28"/>
          <w:rtl w:val="0"/>
        </w:rPr>
        <w:t xml:space="preserve">Why This Matters Now</w:t>
      </w:r>
    </w:p>
    <w:p w:rsidR="00000000" w:rsidDel="00000000" w:rsidP="00000000" w:rsidRDefault="00000000" w:rsidRPr="00000000" w14:paraId="00000021">
      <w:pPr>
        <w:spacing w:after="80" w:before="8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Mining companies in Ghana face a convergence of pressures: rising community expectations around jobs, compensation, environment, and local content; stricter ESG reporting demands; and media narratives that can shift overnight. A single incident, or a piece of misinformation, can affect perception across the entire sector.</w:t>
      </w:r>
    </w:p>
    <w:p w:rsidR="00000000" w:rsidDel="00000000" w:rsidP="00000000" w:rsidRDefault="00000000" w:rsidRPr="00000000" w14:paraId="00000022">
      <w:pPr>
        <w:spacing w:after="0" w:before="10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8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Existing global monitoring tools are not built for this context. They miss:</w:t>
      </w:r>
    </w:p>
    <w:p w:rsidR="00000000" w:rsidDel="00000000" w:rsidP="00000000" w:rsidRDefault="00000000" w:rsidRPr="00000000" w14:paraId="00000024">
      <w:pPr>
        <w:spacing w:after="0" w:before="6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Local radio and community-level conversations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Code-switching and Ghanaian English communication patterns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Local-language grievance signals that precede formal complaints or protests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The difference between an isolated complaint and a fast-growing crisis narrative</w:t>
      </w:r>
    </w:p>
    <w:p w:rsidR="00000000" w:rsidDel="00000000" w:rsidP="00000000" w:rsidRDefault="00000000" w:rsidRPr="00000000" w14:paraId="00000029">
      <w:pPr>
        <w:spacing w:after="0" w:before="10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8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This creates an opportunity for the Chamber to lead: a sector-level intelligence system that helps members detect issues earlier, respond with better evidence, and demonstrate credible social license to operate.</w:t>
      </w:r>
    </w:p>
    <w:p w:rsidR="00000000" w:rsidDel="00000000" w:rsidP="00000000" w:rsidRDefault="00000000" w:rsidRPr="00000000" w14:paraId="0000002B">
      <w:pPr>
        <w:spacing w:after="0" w:before="30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pBdr>
          <w:bottom w:color="c9922a" w:space="6" w:sz="4" w:val="single"/>
        </w:pBdr>
        <w:spacing w:after="160" w:before="360" w:line="240" w:lineRule="auto"/>
        <w:rPr>
          <w:rFonts w:ascii="Arial" w:cs="Arial" w:eastAsia="Arial" w:hAnsi="Arial"/>
          <w:color w:val="1a2b4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a2b40"/>
          <w:sz w:val="28"/>
          <w:szCs w:val="28"/>
          <w:rtl w:val="0"/>
        </w:rPr>
        <w:t xml:space="preserve">Proposed Solution</w:t>
      </w:r>
    </w:p>
    <w:p w:rsidR="00000000" w:rsidDel="00000000" w:rsidP="00000000" w:rsidRDefault="00000000" w:rsidRPr="00000000" w14:paraId="0000002D">
      <w:pPr>
        <w:spacing w:after="80" w:before="8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BrandWatch Africa is configured as a mining-sector intelligence system with four connected capabilities.</w:t>
      </w:r>
    </w:p>
    <w:p w:rsidR="00000000" w:rsidDel="00000000" w:rsidP="00000000" w:rsidRDefault="00000000" w:rsidRPr="00000000" w14:paraId="0000002E">
      <w:pPr>
        <w:spacing w:after="0" w:before="16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2b40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922a"/>
                <w:sz w:val="20"/>
                <w:szCs w:val="20"/>
                <w:rtl w:val="0"/>
              </w:rPr>
              <w:t xml:space="preserve">01  Multi-Channel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Consolidates signals from online news, social media, radio transcripts, regulator statements, uploaded field reports, and community relations notes into a single source of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3d52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922a"/>
                <w:sz w:val="20"/>
                <w:szCs w:val="20"/>
                <w:rtl w:val="0"/>
              </w:rPr>
              <w:t xml:space="preserve">02  Local Context Sentiment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Classifies mentions as positive, negative, neutral, or mixed; Accounting for code-switching, sarcasm, indirect criticism, and Ghanaian communication patterns. Detects emotion, intent, topic, stakeholder group, and location.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a2b40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922a"/>
                <w:sz w:val="20"/>
                <w:szCs w:val="20"/>
                <w:rtl w:val="0"/>
              </w:rPr>
              <w:t xml:space="preserve">03  Community Risk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Converts raw mentions into prioritized risk signals based on sentiment intensity, volume change, spread velocity, topic severity, and whether similar issues have previously escalated to protests or regulatory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2a3d52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922a"/>
                <w:sz w:val="20"/>
                <w:szCs w:val="20"/>
                <w:rtl w:val="0"/>
              </w:rPr>
              <w:t xml:space="preserve">04  ESG &amp; Executive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Produces industry reputation trend reports, community trust indicators, issue heatmaps, and narrative timelines in board-ready formats. Supports ESG disclosures and social license measurement.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before="30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pBdr>
          <w:bottom w:color="c9922a" w:space="6" w:sz="4" w:val="single"/>
        </w:pBdr>
        <w:spacing w:after="160" w:before="360" w:line="240" w:lineRule="auto"/>
        <w:rPr>
          <w:rFonts w:ascii="Arial" w:cs="Arial" w:eastAsia="Arial" w:hAnsi="Arial"/>
          <w:color w:val="1a2b4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a2b40"/>
          <w:sz w:val="28"/>
          <w:szCs w:val="28"/>
          <w:rtl w:val="0"/>
        </w:rPr>
        <w:t xml:space="preserve">Proposed 8–12 Week Pilot</w:t>
      </w:r>
    </w:p>
    <w:p w:rsidR="00000000" w:rsidDel="00000000" w:rsidP="00000000" w:rsidRDefault="00000000" w:rsidRPr="00000000" w14:paraId="00000039">
      <w:pPr>
        <w:spacing w:after="80" w:before="8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The pilot is designed to prove value quickly while respecting data access, privacy, and member confidentiality. Three configurations are available:</w:t>
      </w:r>
    </w:p>
    <w:p w:rsidR="00000000" w:rsidDel="00000000" w:rsidP="00000000" w:rsidRDefault="00000000" w:rsidRPr="00000000" w14:paraId="0000003A">
      <w:pPr>
        <w:spacing w:after="0" w:before="16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680"/>
        <w:gridCol w:w="2880"/>
        <w:tblGridChange w:id="0">
          <w:tblGrid>
            <w:gridCol w:w="2800"/>
            <w:gridCol w:w="36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9922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Pilot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9922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9922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Chamber Sector Pulse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Industry-wide mining narratives across selected public 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Establishing the Chamber's baseline intelligence capability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Corridor 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One mining corridor with selected member companies and community topics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Testing local community sentiment and issue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Member Consortium 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Small group of participating members with anonymized benchmark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Proving value for member expansion and paid rollout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before="20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spacing w:after="120" w:line="240" w:lineRule="auto"/>
        <w:rPr>
          <w:rFonts w:ascii="Arial" w:cs="Arial" w:eastAsia="Arial" w:hAnsi="Arial"/>
          <w:i w:val="0"/>
          <w:iCs w:val="0"/>
          <w:color w:val="c9922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c9922a"/>
          <w:sz w:val="24"/>
          <w:szCs w:val="24"/>
          <w:rtl w:val="0"/>
        </w:rPr>
        <w:t xml:space="preserve">Pilot Deliverables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60" w:before="60" w:line="240" w:lineRule="auto"/>
        <w:ind w:left="720" w:hanging="3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Live BrandWatch Africa dashboard configured for Chamber users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60" w:before="60" w:line="240" w:lineRule="auto"/>
        <w:ind w:left="720" w:hanging="3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Mining-sector topic taxonomy (environment, employment, compensation, safety, local content, community investment, illegal mining, regulation)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60" w:before="60" w:line="240" w:lineRule="auto"/>
        <w:ind w:left="720" w:hanging="3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Weekly intelligence briefs with top narratives, sentiment movement, and emerging risks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60" w:before="60" w:line="240" w:lineRule="auto"/>
        <w:ind w:left="720" w:hanging="3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Prioritized risk queue by urgency, location, stakeholder group, and topic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60" w:before="60" w:line="240" w:lineRule="auto"/>
        <w:ind w:left="720" w:hanging="3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Final executive report with findings, dashboards, pilot metrics, and scale-up recommendations</w:t>
      </w:r>
    </w:p>
    <w:p w:rsidR="00000000" w:rsidDel="00000000" w:rsidP="00000000" w:rsidRDefault="00000000" w:rsidRPr="00000000" w14:paraId="0000004E">
      <w:pPr>
        <w:spacing w:after="0" w:before="30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pBdr>
          <w:bottom w:color="c9922a" w:space="6" w:sz="4" w:val="single"/>
        </w:pBdr>
        <w:spacing w:after="160" w:before="360" w:line="240" w:lineRule="auto"/>
        <w:rPr>
          <w:rFonts w:ascii="Arial" w:cs="Arial" w:eastAsia="Arial" w:hAnsi="Arial"/>
          <w:color w:val="1a2b4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a2b40"/>
          <w:sz w:val="28"/>
          <w:szCs w:val="28"/>
          <w:rtl w:val="0"/>
        </w:rPr>
        <w:t xml:space="preserve">Value to the Chamber &amp; Members</w:t>
      </w:r>
    </w:p>
    <w:p w:rsidR="00000000" w:rsidDel="00000000" w:rsidP="00000000" w:rsidRDefault="00000000" w:rsidRPr="00000000" w14:paraId="00000050">
      <w:pPr>
        <w:spacing w:after="0" w:before="10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0"/>
        <w:gridCol w:w="4760"/>
        <w:tblGridChange w:id="0">
          <w:tblGrid>
            <w:gridCol w:w="4600"/>
            <w:gridCol w:w="4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df3dc" w:val="clear"/>
            <w:tcMar>
              <w:top w:w="180.0" w:type="dxa"/>
              <w:left w:w="200.0" w:type="dxa"/>
              <w:bottom w:w="180.0" w:type="dxa"/>
              <w:right w:w="200.0" w:type="dxa"/>
            </w:tcMar>
          </w:tcPr>
          <w:p w:rsidR="00000000" w:rsidDel="00000000" w:rsidP="00000000" w:rsidRDefault="00000000" w:rsidRPr="00000000" w14:paraId="00000051">
            <w:pPr>
              <w:spacing w:after="12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0"/>
                <w:sz w:val="23"/>
                <w:szCs w:val="23"/>
                <w:rtl w:val="0"/>
              </w:rPr>
              <w:t xml:space="preserve">For the Chamber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pacing w:after="60" w:before="60" w:line="240" w:lineRule="auto"/>
              <w:ind w:left="720" w:hanging="360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rtl w:val="0"/>
              </w:rPr>
              <w:t xml:space="preserve">Sector-wide view of how mining is discussed across media, digital, and community channels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after="60" w:before="60" w:line="240" w:lineRule="auto"/>
              <w:ind w:left="720" w:hanging="360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rtl w:val="0"/>
              </w:rPr>
              <w:t xml:space="preserve">Early warning on emerging issues before they become national headlines or protests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pacing w:after="60" w:before="60" w:line="240" w:lineRule="auto"/>
              <w:ind w:left="720" w:hanging="360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rtl w:val="0"/>
              </w:rPr>
              <w:t xml:space="preserve">Stronger evidence base for engagement with government, regulators, and investors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spacing w:after="60" w:before="60" w:line="240" w:lineRule="auto"/>
              <w:ind w:left="720" w:hanging="360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rtl w:val="0"/>
              </w:rPr>
              <w:t xml:space="preserve">Rapid detection and coordinated response to misinformation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180.0" w:type="dxa"/>
              <w:left w:w="200.0" w:type="dxa"/>
              <w:bottom w:w="180.0" w:type="dxa"/>
              <w:right w:w="200.0" w:type="dxa"/>
            </w:tcMar>
          </w:tcPr>
          <w:p w:rsidR="00000000" w:rsidDel="00000000" w:rsidP="00000000" w:rsidRDefault="00000000" w:rsidRPr="00000000" w14:paraId="00000056">
            <w:pPr>
              <w:spacing w:after="12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2b40"/>
                <w:sz w:val="23"/>
                <w:szCs w:val="23"/>
                <w:rtl w:val="0"/>
              </w:rPr>
              <w:t xml:space="preserve">For Member Companies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"/>
              </w:numPr>
              <w:spacing w:after="60" w:before="60" w:line="240" w:lineRule="auto"/>
              <w:ind w:left="720" w:hanging="360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rtl w:val="0"/>
              </w:rPr>
              <w:t xml:space="preserve">Detect community grievances earlier across jobs, land, water, compensation, and safety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spacing w:after="60" w:before="60" w:line="240" w:lineRule="auto"/>
              <w:ind w:left="720" w:hanging="360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rtl w:val="0"/>
              </w:rPr>
              <w:t xml:space="preserve">Reduce manual time compiling media and community reports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spacing w:after="60" w:before="60" w:line="240" w:lineRule="auto"/>
              <w:ind w:left="720" w:hanging="360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rtl w:val="0"/>
              </w:rPr>
              <w:t xml:space="preserve">Support ESG, board, and investor reporting with more defensible data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spacing w:after="60" w:before="60" w:line="240" w:lineRule="auto"/>
              <w:ind w:left="720" w:hanging="360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rtl w:val="0"/>
              </w:rPr>
              <w:t xml:space="preserve">Measure whether engagement activities improve sentiment over time</w:t>
            </w:r>
          </w:p>
        </w:tc>
      </w:tr>
    </w:tbl>
    <w:p w:rsidR="00000000" w:rsidDel="00000000" w:rsidP="00000000" w:rsidRDefault="00000000" w:rsidRPr="00000000" w14:paraId="0000005B">
      <w:pPr>
        <w:spacing w:after="0" w:before="30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pBdr>
          <w:bottom w:color="c9922a" w:space="6" w:sz="4" w:val="single"/>
        </w:pBdr>
        <w:spacing w:after="160" w:before="360" w:line="240" w:lineRule="auto"/>
        <w:rPr>
          <w:rFonts w:ascii="Arial" w:cs="Arial" w:eastAsia="Arial" w:hAnsi="Arial"/>
          <w:color w:val="1a2b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pBdr>
          <w:bottom w:color="c9922a" w:space="6" w:sz="4" w:val="single"/>
        </w:pBdr>
        <w:spacing w:after="160" w:before="360" w:line="240" w:lineRule="auto"/>
        <w:rPr>
          <w:rFonts w:ascii="Arial" w:cs="Arial" w:eastAsia="Arial" w:hAnsi="Arial"/>
          <w:color w:val="1a2b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pBdr>
          <w:bottom w:color="c9922a" w:space="6" w:sz="4" w:val="single"/>
        </w:pBdr>
        <w:spacing w:after="160" w:before="360" w:line="240" w:lineRule="auto"/>
        <w:rPr>
          <w:rFonts w:ascii="Arial" w:cs="Arial" w:eastAsia="Arial" w:hAnsi="Arial"/>
          <w:color w:val="1a2b4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a2b40"/>
          <w:sz w:val="28"/>
          <w:szCs w:val="28"/>
          <w:rtl w:val="0"/>
        </w:rPr>
        <w:t xml:space="preserve">Implementation Roadmap</w:t>
      </w:r>
    </w:p>
    <w:p w:rsidR="00000000" w:rsidDel="00000000" w:rsidP="00000000" w:rsidRDefault="00000000" w:rsidRPr="00000000" w14:paraId="0000005F">
      <w:pPr>
        <w:spacing w:after="80" w:before="8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Broader rollout follows five phases after the pilot:</w:t>
      </w:r>
    </w:p>
    <w:p w:rsidR="00000000" w:rsidDel="00000000" w:rsidP="00000000" w:rsidRDefault="00000000" w:rsidRPr="00000000" w14:paraId="00000060">
      <w:pPr>
        <w:spacing w:after="0" w:before="12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9922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Sentiment MVP — Ingestion from news, social, and CSV uploads; basic sentiment labels; confidence scoring; manual review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9922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Context-Aware Sentiment — Local-language support, code-switching, emotion and intent detection, stakeholder and location 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9922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Risk &amp; Alerts — Community risk scoring, narrative velocity tracking, escalation workflows, alerts via email / SMS / WhatsApp Business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9922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ESG &amp; Executive Reporting — ESG-aligned templates, social license trend score, community trust index, board-ready exports, competitor benchmarking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c9922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1a2b40"/>
                <w:sz w:val="21"/>
                <w:szCs w:val="21"/>
                <w:rtl w:val="0"/>
              </w:rPr>
              <w:t xml:space="preserve">Enterprise Intelligence Platform — Multi-country support, advanced radio/audio transcription, predictive crisis forecasting, managed analyst workflows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before="30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pBdr>
          <w:bottom w:color="c9922a" w:space="6" w:sz="4" w:val="single"/>
        </w:pBdr>
        <w:spacing w:after="160" w:before="360" w:line="240" w:lineRule="auto"/>
        <w:rPr>
          <w:rFonts w:ascii="Arial" w:cs="Arial" w:eastAsia="Arial" w:hAnsi="Arial"/>
          <w:color w:val="1a2b4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a2b40"/>
          <w:sz w:val="28"/>
          <w:szCs w:val="28"/>
          <w:rtl w:val="0"/>
        </w:rPr>
        <w:t xml:space="preserve">Proposed Next Steps</w:t>
      </w:r>
    </w:p>
    <w:p w:rsidR="00000000" w:rsidDel="00000000" w:rsidP="00000000" w:rsidRDefault="00000000" w:rsidRPr="00000000" w14:paraId="0000006D">
      <w:pPr>
        <w:spacing w:after="80" w:before="8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We propose that the Ghana Chamber of Mines partner with BrandWatch Africa to design and launch a mining-sector reputation intelligence pilot.</w:t>
      </w:r>
    </w:p>
    <w:p w:rsidR="00000000" w:rsidDel="00000000" w:rsidP="00000000" w:rsidRDefault="00000000" w:rsidRPr="00000000" w14:paraId="0000006E">
      <w:pPr>
        <w:spacing w:after="0" w:before="10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Nominate a Chamber pilot sponsor and working group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Select pilot model: Sector Pulse, Corridor Pilot, or Member Consortium Pilot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Agree on initial keywords, member companies, regions, and topics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Confirm available data sources and governance requirements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Run a 2-week setup sprint followed by 8–12 weeks of monitoring and reporting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60" w:before="60" w:line="240" w:lineRule="auto"/>
        <w:ind w:left="540" w:hanging="260"/>
        <w:rPr>
          <w:rFonts w:ascii="Arial" w:cs="Arial" w:eastAsia="Arial" w:hAnsi="Arial"/>
          <w:color w:val="1a2b40"/>
        </w:rPr>
      </w:pPr>
      <w:r w:rsidDel="00000000" w:rsidR="00000000" w:rsidRPr="00000000">
        <w:rPr>
          <w:rFonts w:ascii="Arial" w:cs="Arial" w:eastAsia="Arial" w:hAnsi="Arial"/>
          <w:color w:val="1a2b40"/>
          <w:rtl w:val="0"/>
        </w:rPr>
        <w:t xml:space="preserve">Review pilot outcomes and decide on sector rollout model</w:t>
      </w:r>
    </w:p>
    <w:p w:rsidR="00000000" w:rsidDel="00000000" w:rsidP="00000000" w:rsidRDefault="00000000" w:rsidRPr="00000000" w14:paraId="00000075">
      <w:pPr>
        <w:spacing w:after="0" w:before="300" w:line="240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2b40" w:val="clear"/>
            <w:tcMar>
              <w:top w:w="400.0" w:type="dxa"/>
              <w:left w:w="500.0" w:type="dxa"/>
              <w:bottom w:w="400.0" w:type="dxa"/>
              <w:right w:w="500.0" w:type="dxa"/>
            </w:tcMar>
          </w:tcPr>
          <w:p w:rsidR="00000000" w:rsidDel="00000000" w:rsidP="00000000" w:rsidRDefault="00000000" w:rsidRPr="00000000" w14:paraId="00000076">
            <w:pPr>
              <w:spacing w:after="120" w:line="240" w:lineRule="auto"/>
              <w:jc w:val="center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922a"/>
                <w:sz w:val="24"/>
                <w:szCs w:val="24"/>
                <w:rtl w:val="0"/>
              </w:rPr>
              <w:t xml:space="preserve">The result is not just more monitoring.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Arial" w:cs="Arial" w:eastAsia="Arial" w:hAnsi="Arial"/>
                <w:color w:val="1a2b4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It is a stronger operating capability for responsible mining — connecting community sentiment, media narratives, ESG evidence, and executive action in a single, Ghana-ready intelligence platform.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widowControl w:val="0"/>
        <w:spacing w:after="0" w:line="276" w:lineRule="auto"/>
        <w:rPr>
          <w:rFonts w:ascii="Arial" w:cs="Arial" w:eastAsia="Arial" w:hAnsi="Arial"/>
          <w:color w:val="1a2b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160" w:before="0" w:lineRule="auto"/>
        <w:ind w:left="720" w:hanging="360"/>
        <w:rPr>
          <w:rFonts w:ascii="Gentium Basic" w:cs="Gentium Basic" w:eastAsia="Gentium Basic" w:hAnsi="Gentium Basic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985" w:top="3119" w:left="1134" w:right="1440" w:header="170" w:footer="7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Gentium Bas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f5496"/>
        <w:sz w:val="22"/>
        <w:szCs w:val="22"/>
        <w:u w:val="none"/>
        <w:shd w:fill="auto" w:val="clear"/>
        <w:vertAlign w:val="baseline"/>
        <w:rtl w:val="0"/>
      </w:rPr>
      <w:t xml:space="preserve">Office: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  <w:rtl w:val="0"/>
      </w:rPr>
      <w:t xml:space="preserve">0303980161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f5496"/>
        <w:sz w:val="22"/>
        <w:szCs w:val="22"/>
        <w:u w:val="none"/>
        <w:shd w:fill="auto" w:val="clear"/>
        <w:vertAlign w:val="baseline"/>
        <w:rtl w:val="0"/>
      </w:rPr>
      <w:t xml:space="preserve"> Mobile: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  <w:rtl w:val="0"/>
      </w:rPr>
      <w:t xml:space="preserve">+233 24 422 0361/ 55 588 3284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f5496"/>
        <w:sz w:val="22"/>
        <w:szCs w:val="22"/>
        <w:u w:val="none"/>
        <w:shd w:fill="auto" w:val="clear"/>
        <w:vertAlign w:val="baseline"/>
        <w:rtl w:val="0"/>
      </w:rPr>
      <w:t xml:space="preserve">| GPS: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2f5496"/>
        <w:sz w:val="22"/>
        <w:szCs w:val="22"/>
        <w:u w:val="none"/>
        <w:shd w:fill="auto" w:val="clear"/>
        <w:vertAlign w:val="baseline"/>
        <w:rtl w:val="0"/>
      </w:rPr>
      <w:t xml:space="preserve">GA-450-2858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f5496"/>
        <w:sz w:val="22"/>
        <w:szCs w:val="22"/>
        <w:u w:val="none"/>
        <w:shd w:fill="auto" w:val="clear"/>
        <w:vertAlign w:val="baseline"/>
        <w:rtl w:val="0"/>
      </w:rPr>
      <w:t xml:space="preserve"> | P. O. Box 12351, Accra - North. Website: </w:t>
    </w:r>
    <w:hyperlink r:id="rId1"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22"/>
          <w:szCs w:val="22"/>
          <w:u w:val="single"/>
          <w:shd w:fill="auto" w:val="clear"/>
          <w:vertAlign w:val="baseline"/>
          <w:rtl w:val="0"/>
        </w:rPr>
        <w:t xml:space="preserve">www.smartinnovationsgh.com</w:t>
      </w:r>
    </w:hyperlink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f5496"/>
        <w:sz w:val="22"/>
        <w:szCs w:val="22"/>
        <w:u w:val="none"/>
        <w:shd w:fill="auto" w:val="clear"/>
        <w:vertAlign w:val="baseline"/>
        <w:rtl w:val="0"/>
      </w:rPr>
      <w:t xml:space="preserve"> Email: info@smartinnovationsgh.com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-9524</wp:posOffset>
          </wp:positionV>
          <wp:extent cx="7560310" cy="1069213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-3" l="-4" r="-4" t="-3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Gentium Basic" w:cs="Gentium Basic" w:eastAsia="Gentium Basic" w:hAnsi="Gentium Basic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sz w:val="20"/>
        <w:szCs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sz w:val="20"/>
        <w:szCs w:val="20"/>
      </w:rPr>
    </w:lvl>
    <w:lvl w:ilvl="3">
      <w:start w:val="1"/>
      <w:numFmt w:val="bullet"/>
      <w:lvlText w:val=""/>
      <w:lvlJc w:val="left"/>
      <w:pPr>
        <w:ind w:left="2880" w:hanging="360"/>
      </w:pPr>
      <w:rPr>
        <w:sz w:val="20"/>
        <w:szCs w:val="20"/>
      </w:rPr>
    </w:lvl>
    <w:lvl w:ilvl="4">
      <w:start w:val="1"/>
      <w:numFmt w:val="bullet"/>
      <w:lvlText w:val=""/>
      <w:lvlJc w:val="left"/>
      <w:pPr>
        <w:ind w:left="3600" w:hanging="360"/>
      </w:pPr>
      <w:rPr>
        <w:sz w:val="20"/>
        <w:szCs w:val="20"/>
      </w:rPr>
    </w:lvl>
    <w:lvl w:ilvl="5">
      <w:start w:val="1"/>
      <w:numFmt w:val="bullet"/>
      <w:lvlText w:val=""/>
      <w:lvlJc w:val="left"/>
      <w:pPr>
        <w:ind w:left="4320" w:hanging="360"/>
      </w:pPr>
      <w:rPr>
        <w:sz w:val="20"/>
        <w:szCs w:val="20"/>
      </w:rPr>
    </w:lvl>
    <w:lvl w:ilvl="6">
      <w:start w:val="1"/>
      <w:numFmt w:val="bullet"/>
      <w:lvlText w:val=""/>
      <w:lvlJc w:val="left"/>
      <w:pPr>
        <w:ind w:left="5040" w:hanging="360"/>
      </w:pPr>
      <w:rPr>
        <w:sz w:val="20"/>
        <w:szCs w:val="20"/>
      </w:rPr>
    </w:lvl>
    <w:lvl w:ilvl="7">
      <w:start w:val="1"/>
      <w:numFmt w:val="bullet"/>
      <w:lvlText w:val=""/>
      <w:lvlJc w:val="left"/>
      <w:pPr>
        <w:ind w:left="5760" w:hanging="360"/>
      </w:pPr>
      <w:rPr>
        <w:sz w:val="20"/>
        <w:szCs w:val="20"/>
      </w:rPr>
    </w:lvl>
    <w:lvl w:ilvl="8">
      <w:start w:val="1"/>
      <w:numFmt w:val="bullet"/>
      <w:lvlText w:val=""/>
      <w:lvlJc w:val="left"/>
      <w:pPr>
        <w:ind w:left="6480" w:hanging="360"/>
      </w:pPr>
      <w:rPr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0" w:firstLine="0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0" w:firstLine="0"/>
    </w:pPr>
    <w:rPr>
      <w:rFonts w:ascii="Play" w:cs="Play" w:eastAsia="Play" w:hAnsi="Play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firstLine="0"/>
    </w:pPr>
    <w:rPr>
      <w:rFonts w:ascii="Play" w:cs="Play" w:eastAsia="Play" w:hAnsi="Play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firstLine="0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smartinnovationsgh.com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863eeH0lLQmqb7Pf2sTGj6oUpA==">CgMxLjA4AHIhMUZldjRRQVhOSjhYYTFzUWtFMEpRbHZsN3FqWjYtTzN1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_Grammarly_42___1">
    <vt:lpwstr>__Grammarly_42___1</vt:lpwstr>
  </property>
  <property fmtid="{D5CDD505-2E9C-101B-9397-08002B2CF9AE}" pid="3" name="__Grammarly_42____i">
    <vt:lpwstr>__Grammarly_42____i</vt:lpwstr>
  </property>
</Properties>
</file>