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0" w:val="clear"/>
            <w:tcMar>
              <w:top w:w="560.0" w:type="dxa"/>
              <w:left w:w="560.0" w:type="dxa"/>
              <w:bottom w:w="560.0" w:type="dxa"/>
              <w:right w:w="560.0" w:type="dxa"/>
            </w:tcMar>
          </w:tcPr>
          <w:p w:rsidR="00000000" w:rsidDel="00000000" w:rsidP="00000000" w:rsidRDefault="00000000" w:rsidRPr="00000000" w14:paraId="00000002">
            <w:pPr>
              <w:spacing w:after="8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40"/>
                <w:szCs w:val="40"/>
                <w:rtl w:val="0"/>
              </w:rPr>
              <w:t xml:space="preserve">BrandWatch Africa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4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SIGNAL Reputation Intelligence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Proposal to the Ghana Chamber of Mines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rtl w:val="0"/>
              </w:rPr>
              <w:t xml:space="preserve">AI-Powered Reputation, Community Sentiment &amp; ESG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0"/>
                <w:szCs w:val="20"/>
                <w:rtl w:val="0"/>
              </w:rPr>
              <w:t xml:space="preserve">Ghana Chamber of Mines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0"/>
                <w:szCs w:val="20"/>
                <w:rtl w:val="0"/>
              </w:rPr>
              <w:t xml:space="preserve">BrandWatch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0"/>
                <w:szCs w:val="20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4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13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Ghana's mining industry operates under rising community expectations, intense ESG scrutiny, and fast-moving media narratives. Yet the most important reputation signals — local radio discussions, community grievances, social media conversations, and field officer notes — remain fragmented and reactive.</w:t>
      </w:r>
    </w:p>
    <w:p w:rsidR="00000000" w:rsidDel="00000000" w:rsidP="00000000" w:rsidRDefault="00000000" w:rsidRPr="00000000" w14:paraId="00000014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BrandWatch Africa proposes a Chamber-led AI reputation and community sentiment intelligence platform that consolidates these signals into a single, actionable system. The platform delivers:</w:t>
      </w:r>
    </w:p>
    <w:p w:rsidR="00000000" w:rsidDel="00000000" w:rsidP="00000000" w:rsidRDefault="00000000" w:rsidRPr="00000000" w14:paraId="00000016">
      <w:pPr>
        <w:spacing w:after="0" w:before="6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Multi-channel monitoring across news, social, radio, and community reports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Local-language sentiment analysis covering English, Twi, Ga, Ewe, Dagbani, Hausa, and French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Risk scoring that prioritizes issues before they escalate into crises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ESG-ready reporting for investors, boards, and sustainability disclosures</w:t>
      </w:r>
    </w:p>
    <w:p w:rsidR="00000000" w:rsidDel="00000000" w:rsidP="00000000" w:rsidRDefault="00000000" w:rsidRPr="00000000" w14:paraId="0000001B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We recommend an 8–12 week pilot focused on selected mining corridors and member companies, culminating in a live dashboard, weekly briefings, and a sector rollout roadmap.</w:t>
      </w:r>
    </w:p>
    <w:p w:rsidR="00000000" w:rsidDel="00000000" w:rsidP="00000000" w:rsidRDefault="00000000" w:rsidRPr="00000000" w14:paraId="0000001D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Why This Matters Now</w:t>
      </w:r>
    </w:p>
    <w:p w:rsidR="00000000" w:rsidDel="00000000" w:rsidP="00000000" w:rsidRDefault="00000000" w:rsidRPr="00000000" w14:paraId="0000001F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Mining companies in Ghana face a convergence of pressures: rising community expectations around jobs, compensation, environment, and local content; stricter ESG reporting demands; and media narratives that can shift overnight. A single incident — or a piece of misinformation — can affect perception across the entire sector.</w:t>
      </w:r>
    </w:p>
    <w:p w:rsidR="00000000" w:rsidDel="00000000" w:rsidP="00000000" w:rsidRDefault="00000000" w:rsidRPr="00000000" w14:paraId="00000020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Existing global monitoring tools are not built for this context. They miss:</w:t>
      </w:r>
    </w:p>
    <w:p w:rsidR="00000000" w:rsidDel="00000000" w:rsidP="00000000" w:rsidRDefault="00000000" w:rsidRPr="00000000" w14:paraId="00000022">
      <w:pPr>
        <w:spacing w:after="0" w:before="6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Local radio and community-level conversations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Code-switching and Ghanaian English communication patterns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Local-language grievance signals that precede formal complaints or protests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The difference between an isolated complaint and a fast-growing crisis narrative</w:t>
      </w:r>
    </w:p>
    <w:p w:rsidR="00000000" w:rsidDel="00000000" w:rsidP="00000000" w:rsidRDefault="00000000" w:rsidRPr="00000000" w14:paraId="00000027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This creates an opportunity for the Chamber to lead: a sector-level intelligence system that helps members detect issues earlier, respond with better evidence, and demonstrate credible social license to operate.</w:t>
      </w:r>
    </w:p>
    <w:p w:rsidR="00000000" w:rsidDel="00000000" w:rsidP="00000000" w:rsidRDefault="00000000" w:rsidRPr="00000000" w14:paraId="00000029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Proposed Solution</w:t>
      </w:r>
    </w:p>
    <w:p w:rsidR="00000000" w:rsidDel="00000000" w:rsidP="00000000" w:rsidRDefault="00000000" w:rsidRPr="00000000" w14:paraId="0000002B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BrandWatch Africa is configured as a mining-sector intelligence system with four connected capabilities.</w:t>
      </w:r>
    </w:p>
    <w:p w:rsidR="00000000" w:rsidDel="00000000" w:rsidP="00000000" w:rsidRDefault="00000000" w:rsidRPr="00000000" w14:paraId="0000002C">
      <w:pPr>
        <w:spacing w:after="0" w:before="16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2b40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0"/>
                <w:szCs w:val="20"/>
                <w:rtl w:val="0"/>
              </w:rPr>
              <w:t xml:space="preserve">01  Multi-Channel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Consolidates signals from online news, social media, radio transcripts, regulator statements, uploaded field reports, and community relations notes into a single source of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3d52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0"/>
                <w:szCs w:val="20"/>
                <w:rtl w:val="0"/>
              </w:rPr>
              <w:t xml:space="preserve">02  Local Context 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Classifies mentions as positive, negative, neutral, or mixed — accounting for code-switching, sarcasm, indirect criticism, and Ghanaian communication patterns. Detects emotion, intent, topic, stakeholder group, and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2b40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0"/>
                <w:szCs w:val="20"/>
                <w:rtl w:val="0"/>
              </w:rPr>
              <w:t xml:space="preserve">03  Community Risk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Converts raw mentions into prioritized risk signals based on sentiment intensity, volume change, spread velocity, topic severity, and whether similar issues have previously escalated to protests or regulatory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3d52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0"/>
                <w:szCs w:val="20"/>
                <w:rtl w:val="0"/>
              </w:rPr>
              <w:t xml:space="preserve">04  ESG &amp; Executive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Produces industry reputation trend reports, community trust indicators, issue heatmaps, and narrative timelines in board-ready formats. Supports ESG disclosures and social license measurement.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Proposed 8–12 Week Pilot</w:t>
      </w:r>
    </w:p>
    <w:p w:rsidR="00000000" w:rsidDel="00000000" w:rsidP="00000000" w:rsidRDefault="00000000" w:rsidRPr="00000000" w14:paraId="00000037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The pilot is designed to prove value quickly while respecting data access, privacy, and member confidentiality. Three configurations are available:</w:t>
      </w:r>
    </w:p>
    <w:p w:rsidR="00000000" w:rsidDel="00000000" w:rsidP="00000000" w:rsidRDefault="00000000" w:rsidRPr="00000000" w14:paraId="00000038">
      <w:pPr>
        <w:spacing w:after="0" w:before="16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80"/>
        <w:gridCol w:w="2880"/>
        <w:tblGridChange w:id="0">
          <w:tblGrid>
            <w:gridCol w:w="2800"/>
            <w:gridCol w:w="36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Pilot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Chamber Sector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Industry-wide mining narratives across selected public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Establishing the Chamber's baseline intelligence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Corridor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One mining corridor with selected member companies and community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Testing local community sentiment and issue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Member Consortium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Small group of participating members with anonymized benchmark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Proving value for member expansion and paid rollout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2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spacing w:after="120" w:line="240" w:lineRule="auto"/>
        <w:rPr>
          <w:rFonts w:ascii="Arial" w:cs="Arial" w:eastAsia="Arial" w:hAnsi="Arial"/>
          <w:i w:val="0"/>
          <w:iCs w:val="0"/>
          <w:color w:val="c992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c9922a"/>
          <w:sz w:val="24"/>
          <w:szCs w:val="24"/>
          <w:rtl w:val="0"/>
        </w:rPr>
        <w:t xml:space="preserve">Pilot Deliverables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Live BrandWatch Africa dashboard configured for Chamber users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Mining-sector topic taxonomy (environment, employment, compensation, safety, local content, community investment, illegal mining, regulation)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Weekly intelligence briefs with top narratives, sentiment movement, and emerging risks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Prioritized risk queue by urgency, location, stakeholder group, and topic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Final executive report with findings, dashboards, pilot metrics, and scale-up recommendations</w:t>
      </w:r>
    </w:p>
    <w:p w:rsidR="00000000" w:rsidDel="00000000" w:rsidP="00000000" w:rsidRDefault="00000000" w:rsidRPr="00000000" w14:paraId="0000004C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Value to the Chamber &amp; Members</w:t>
      </w:r>
    </w:p>
    <w:p w:rsidR="00000000" w:rsidDel="00000000" w:rsidP="00000000" w:rsidRDefault="00000000" w:rsidRPr="00000000" w14:paraId="0000004E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760"/>
        <w:tblGridChange w:id="0">
          <w:tblGrid>
            <w:gridCol w:w="4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12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3"/>
                <w:szCs w:val="23"/>
                <w:rtl w:val="0"/>
              </w:rPr>
              <w:t xml:space="preserve">For the Chamber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60" w:before="60" w:line="240" w:lineRule="auto"/>
              <w:ind w:left="540" w:hanging="2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Sector-wide view of how mining is discussed across media, digital, and community channels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60" w:before="60" w:line="240" w:lineRule="auto"/>
              <w:ind w:left="540" w:hanging="2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Early warning on emerging issues before they become national headlines or protests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60" w:before="60" w:line="240" w:lineRule="auto"/>
              <w:ind w:left="540" w:hanging="2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Stronger evidence base for engagement with government, regulators, and investors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60" w:before="60" w:line="240" w:lineRule="auto"/>
              <w:ind w:left="540" w:hanging="2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Rapid detection and coordinated response to misinformation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12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3"/>
                <w:szCs w:val="23"/>
                <w:rtl w:val="0"/>
              </w:rPr>
              <w:t xml:space="preserve">For Member Companies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60" w:before="60" w:line="240" w:lineRule="auto"/>
              <w:ind w:left="540" w:hanging="2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Detect community grievances earlier across jobs, land, water, compensation, and safety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60" w:before="60" w:line="240" w:lineRule="auto"/>
              <w:ind w:left="540" w:hanging="2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Reduce manual time compiling media and community reports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60" w:before="60" w:line="240" w:lineRule="auto"/>
              <w:ind w:left="540" w:hanging="2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Support ESG, board, and investor reporting with more defensible data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60" w:before="60" w:line="240" w:lineRule="auto"/>
              <w:ind w:left="540" w:hanging="2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Measure whether engagement activities improve sentiment over time</w:t>
            </w:r>
          </w:p>
        </w:tc>
      </w:tr>
    </w:tbl>
    <w:p w:rsidR="00000000" w:rsidDel="00000000" w:rsidP="00000000" w:rsidRDefault="00000000" w:rsidRPr="00000000" w14:paraId="00000059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Implementation Roadmap</w:t>
      </w:r>
    </w:p>
    <w:p w:rsidR="00000000" w:rsidDel="00000000" w:rsidP="00000000" w:rsidRDefault="00000000" w:rsidRPr="00000000" w14:paraId="0000005B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Broader rollout follows five phases after the pilot:</w:t>
      </w:r>
    </w:p>
    <w:p w:rsidR="00000000" w:rsidDel="00000000" w:rsidP="00000000" w:rsidRDefault="00000000" w:rsidRPr="00000000" w14:paraId="0000005C">
      <w:pPr>
        <w:spacing w:after="0" w:before="12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Sentiment MVP — Ingestion from news, social, and CSV uploads; basic sentiment labels; confidence scoring; manual review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Context-Aware Sentiment — Local-language support, code-switching, emotion and intent detection, stakeholder and location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Risk &amp; Alerts — Community risk scoring, narrative velocity tracking, escalation workflows, alerts via email / SMS / WhatsApp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ESG &amp; Executive Reporting — ESG-aligned templates, social license trend score, community trust index, board-ready exports, competitor benchmarking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Enterprise Intelligence Platform — Multi-country support, advanced radio/audio transcription, predictive crisis forecasting, managed analyst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Proposed Next Steps</w:t>
      </w:r>
    </w:p>
    <w:p w:rsidR="00000000" w:rsidDel="00000000" w:rsidP="00000000" w:rsidRDefault="00000000" w:rsidRPr="00000000" w14:paraId="00000069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We propose that the Ghana Chamber of Mines partner with BrandWatch Africa to design and launch a mining-sector reputation intelligence pilot.</w:t>
      </w:r>
    </w:p>
    <w:p w:rsidR="00000000" w:rsidDel="00000000" w:rsidP="00000000" w:rsidRDefault="00000000" w:rsidRPr="00000000" w14:paraId="0000006A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Nominate a Chamber pilot sponsor and working group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Select pilot model: Sector Pulse, Corridor Pilot, or Member Consortium Pilot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Agree on initial keywords, member companies, regions, and topics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Confirm available data sources and governance requirements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Run a 2-week setup sprint followed by 8–12 weeks of monitoring and reporting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Review pilot outcomes and decide on sector rollout model</w:t>
      </w:r>
    </w:p>
    <w:p w:rsidR="00000000" w:rsidDel="00000000" w:rsidP="00000000" w:rsidRDefault="00000000" w:rsidRPr="00000000" w14:paraId="00000071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0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072">
            <w:pPr>
              <w:spacing w:after="12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4"/>
                <w:szCs w:val="24"/>
                <w:rtl w:val="0"/>
              </w:rPr>
              <w:t xml:space="preserve">The result is not just more monitoring.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It is a stronger operating capability for responsible mining — connecting community sentiment, media narratives, ESG evidence, and executive action in a single, Ghana-ready intelligence platform.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spacing w:after="0" w:line="276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160" w:before="0" w:lineRule="auto"/>
        <w:ind w:left="720" w:hanging="360"/>
        <w:rPr>
          <w:rFonts w:ascii="Gentium Basic" w:cs="Gentium Basic" w:eastAsia="Gentium Basic" w:hAnsi="Gentium Basic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985" w:top="3119" w:left="1134" w:right="1440" w:header="170" w:footer="7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Gentium Bas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Office: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0303980161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 Mobile: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+233 24 422 0361/ 55 588 3284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| GPS: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GA-450-2858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 | P. O. Box 12351, Accra - North. Website: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2"/>
          <w:szCs w:val="22"/>
          <w:u w:val="single"/>
          <w:shd w:fill="auto" w:val="clear"/>
          <w:vertAlign w:val="baseline"/>
          <w:rtl w:val="0"/>
        </w:rPr>
        <w:t xml:space="preserve">www.smartinnovationsgh.com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 Email: info@smartinnovationsgh.com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-9524</wp:posOffset>
          </wp:positionV>
          <wp:extent cx="7560310" cy="106921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-3" l="-4" r="-4" t="-3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ntium Basic" w:cs="Gentium Basic" w:eastAsia="Gentium Basic" w:hAnsi="Gentium Basic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0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Play" w:cs="Play" w:eastAsia="Play" w:hAnsi="Play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Play" w:cs="Play" w:eastAsia="Play" w:hAnsi="Play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smartinnovationsgh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863eeH0lLQmqb7Pf2sTGj6oUpA==">CgMxLjA4AHIhMUZldjRRQVhOSjhYYTFzUWtFMEpRbHZsN3FqWjYtTzN1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_Grammarly_42___1">
    <vt:lpwstr>__Grammarly_42___1</vt:lpwstr>
  </property>
  <property fmtid="{D5CDD505-2E9C-101B-9397-08002B2CF9AE}" pid="3" name="__Grammarly_42____i">
    <vt:lpwstr>__Grammarly_42____i</vt:lpwstr>
  </property>
</Properties>
</file>