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0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40"/>
                <w:szCs w:val="40"/>
              </w:rPr>
              <w:t xml:space="preserve">BrandWatch Africa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SIGNAL Reputation Intelligence Platform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Proposal to the Ghana Chamber of Mines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AI-Powered Reputation, Community Sentiment &amp; ESG Intelligence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Prepared for</w:t>
            </w:r>
          </w:p>
          <w:p>
            <w:r>
              <w:rPr>
                <w:rFonts w:ascii="Arial" w:cs="Arial" w:eastAsia="Arial" w:hAnsi="Arial"/>
                <w:b/>
                <w:bCs/>
                <w:color w:val="1A2B40"/>
                <w:sz w:val="20"/>
                <w:szCs w:val="20"/>
              </w:rPr>
              <w:t xml:space="preserve">Ghana Chamber of Mines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b/>
                <w:bCs/>
                <w:color w:val="1A2B40"/>
                <w:sz w:val="20"/>
                <w:szCs w:val="20"/>
              </w:rPr>
              <w:t xml:space="preserve">BrandWatch Africa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1A2B40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C992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0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Ghana's mining industry operates under rising community expectations, intense ESG scrutiny, and fast-moving media narratives. Yet the most important reputation signals — local radio discussions, community grievances, social media conversations, and field officer notes — remain fragmented and reactive.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BrandWatch Africa proposes a Chamber-led AI reputation and community sentiment intelligence platform that consolidates these signals into a single, actionable system. The platform delivers: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Multi-channel monitoring across news, social, radio, and community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Local-language sentiment analysis covering English, Twi, Ga, Ewe, Dagbani, Hausa, and French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Risk scoring that prioritizes issues before they escalate into crises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ESG-ready reporting for investors, boards, and sustainability disclosures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We recommend an 8–12 week pilot focused on selected mining corridors and member companies, culminating in a live dashboard, weekly briefings, and a sector rollout roadmap.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992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0"/>
          <w:sz w:val="28"/>
          <w:szCs w:val="28"/>
        </w:rPr>
        <w:t xml:space="preserve">Why This Matters Now</w:t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Mining companies in Ghana face a convergence of pressures: rising community expectations around jobs, compensation, environment, and local content; stricter ESG reporting demands; and media narratives that can shift overnight. A single incident — or a piece of misinformation — can affect perception across the entire sector.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Existing global monitoring tools are not built for this context. They miss: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Local radio and community-level conversations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Code-switching and Ghanaian English communication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Local-language grievance signals that precede formal complaints or protests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The difference between an isolated complaint and a fast-growing crisis narrative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This creates an opportunity for the Chamber to lead: a sector-level intelligence system that helps members detect issues earlier, respond with better evidence, and demonstrate credible social license to operate.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992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0"/>
          <w:sz w:val="28"/>
          <w:szCs w:val="28"/>
        </w:rPr>
        <w:t xml:space="preserve">Proposed Solution</w:t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BrandWatch Africa is configured as a mining-sector intelligence system with four connected capabilities.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01  Multi-Channel Monitoring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Consolidates signals from online news, social media, radio transcripts, regulator statements, uploaded field reports, and community relations notes into a single source of truth.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D5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02  Local Context Sentiment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Classifies mentions as positive, negative, neutral, or mixed — accounting for code-switching, sarcasm, indirect criticism, and Ghanaian communication patterns. Detects emotion, intent, topic, stakeholder group, and location.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03  Community Risk Scoring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Converts raw mentions into prioritized risk signals based on sentiment intensity, volume change, spread velocity, topic severity, and whether similar issues have previously escalated to protests or regulatory action.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D5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04  ESG &amp; Executive Reporting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Produces industry reputation trend reports, community trust indicators, issue heatmaps, and narrative timelines in board-ready formats. Supports ESG disclosures and social license measurement.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992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0"/>
          <w:sz w:val="28"/>
          <w:szCs w:val="28"/>
        </w:rPr>
        <w:t xml:space="preserve">Proposed 8–12 Week Pilot</w:t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The pilot is designed to prove value quickly while respecting data access, privacy, and member confidentiality. Three configurations are available: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28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Pilot Option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Chamber Sector Pulse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Industry-wide mining narratives across selected public sources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Establishing the Chamber's baseline intelligence capability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Corridor Pilot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One mining corridor with selected member companies and community topics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Testing local community sentiment and issue detection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Member Consortium Pilot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Small group of participating members with anonymized benchmark reporting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Proving value for member expansion and paid rollout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22A"/>
          <w:sz w:val="24"/>
          <w:szCs w:val="24"/>
        </w:rPr>
        <w:t xml:space="preserve">Pilot 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Live BrandWatch Africa dashboard configured for Chamber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Mining-sector topic taxonomy (environment, employment, compensation, safety, local content, community investment, illegal mining, regulation)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Weekly intelligence briefs with top narratives, sentiment movement, and emerging risks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Prioritized risk queue by urgency, location, stakeholder group, and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Final executive report with findings, dashboards, pilot metrics, and scale-up recommendations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992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0"/>
          <w:sz w:val="28"/>
          <w:szCs w:val="28"/>
        </w:rPr>
        <w:t xml:space="preserve">Value to the Chamber &amp; Members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2B40"/>
                <w:sz w:val="23"/>
                <w:szCs w:val="23"/>
              </w:rPr>
              <w:t xml:space="preserve">For the Chamber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2B40"/>
                <w:sz w:val="22"/>
                <w:szCs w:val="22"/>
              </w:rPr>
              <w:t xml:space="preserve">Sector-wide view of how mining is discussed across media, digital, and community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2B40"/>
                <w:sz w:val="22"/>
                <w:szCs w:val="22"/>
              </w:rPr>
              <w:t xml:space="preserve">Early warning on emerging issues before they become national headlines or protests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2B40"/>
                <w:sz w:val="22"/>
                <w:szCs w:val="22"/>
              </w:rPr>
              <w:t xml:space="preserve">Stronger evidence base for engagement with government, regulators, and investors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2B40"/>
                <w:sz w:val="22"/>
                <w:szCs w:val="22"/>
              </w:rPr>
              <w:t xml:space="preserve">Rapid detection and coordinated response to misinformation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2B40"/>
                <w:sz w:val="23"/>
                <w:szCs w:val="23"/>
              </w:rPr>
              <w:t xml:space="preserve">For Member Companies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2B40"/>
                <w:sz w:val="22"/>
                <w:szCs w:val="22"/>
              </w:rPr>
              <w:t xml:space="preserve">Detect community grievances earlier across jobs, land, water, compensation, and safety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2B40"/>
                <w:sz w:val="22"/>
                <w:szCs w:val="22"/>
              </w:rPr>
              <w:t xml:space="preserve">Reduce manual time compiling media and community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2B40"/>
                <w:sz w:val="22"/>
                <w:szCs w:val="22"/>
              </w:rPr>
              <w:t xml:space="preserve">Support ESG, board, and investor reporting with more defensible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2B40"/>
                <w:sz w:val="22"/>
                <w:szCs w:val="22"/>
              </w:rPr>
              <w:t xml:space="preserve">Measure whether engagement activities improve sentiment over time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992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0"/>
          <w:sz w:val="28"/>
          <w:szCs w:val="28"/>
        </w:rPr>
        <w:t xml:space="preserve">Implementation Roadmap</w:t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Broader rollout follows five phases after the pilot: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Sentiment MVP — Ingestion from news, social, and CSV uploads; basic sentiment labels; confidence scoring; manual review workflow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Context-Aware Sentiment — Local-language support, code-switching, emotion and intent detection, stakeholder and location classification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Risk &amp; Alerts — Community risk scoring, narrative velocity tracking, escalation workflows, alerts via email / SMS / WhatsApp Business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ESG &amp; Executive Reporting — ESG-aligned templates, social license trend score, community trust index, board-ready exports, competitor benchmarking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40"/>
                <w:sz w:val="21"/>
                <w:szCs w:val="21"/>
              </w:rPr>
              <w:t xml:space="preserve">Enterprise Intelligence Platform — Multi-country support, advanced radio/audio transcription, predictive crisis forecasting, managed analyst workflows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9922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0"/>
          <w:sz w:val="28"/>
          <w:szCs w:val="28"/>
        </w:rPr>
        <w:t xml:space="preserve">Proposed Next Steps</w:t>
      </w:r>
    </w:p>
    <w:p>
      <w:pPr>
        <w:spacing w:after="80" w:before="8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We propose that the Ghana Chamber of Mines partner with BrandWatch Africa to design and launch a mining-sector reputation intelligence pilot.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Nominate a Chamber pilot sponsor and working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Select pilot model: Sector Pulse, Corridor Pilot, or Member Consortium Pilot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Agree on initial keywords, member companies, regions, and 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Confirm available data sources and governance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Run a 2-week setup sprint followed by 8–12 weeks of monitoring and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40"/>
          <w:sz w:val="22"/>
          <w:szCs w:val="22"/>
        </w:rPr>
        <w:t xml:space="preserve">Review pilot outcomes and decide on sector rollout model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0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24"/>
                <w:szCs w:val="24"/>
              </w:rPr>
              <w:t xml:space="preserve">The result is not just more monitoring.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It is a stronger operating capability for responsible mining — connecting community sentiment, media narratives, ESG evidence, and executive action in a single, Ghana-ready intelligence platform.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BrandWatch Africa  |  Confidential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B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99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2026-06-15T21:33:57.442Z</dcterms:created>
  <dcterms:modified xsi:type="dcterms:W3CDTF">2026-06-15T21:33:57.442Z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