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AAC Assosa CIL Plant: Monitoring Proposal (Summary)</w:t>
      </w:r>
    </w:p>
    <w:p>
      <w:pPr/>
      <w:r>
        <w:t xml:space="preserve">Sep 27, 2026</w:t>
      </w:r>
      <w:r>
        <w:t xml:space="preserve"> · </w:t>
      </w:r>
      <w:r>
        <w:t xml:space="preserve">@SVondee</w:t>
      </w:r>
    </w:p>
    <w:p>
      <w:pPr/>
      <w:r>
        <w:t xml:space="preserve">Smart Innovations GH to Accountable Africa Capital. Confidential.</w:t>
      </w:r>
    </w:p>
    <w:p>
      <w:pPr>
        <w:pStyle w:val="Heading2"/>
      </w:pPr>
      <w:r>
        <w:t xml:space="preserve">1. The offer in brief</w:t>
      </w:r>
    </w:p>
    <w:p>
      <w:pPr/>
      <w:r>
        <w:t xml:space="preserve">AAC funds a private CIL plant near Assosa, Ethiopia, fed with tailings from 4 to 10 concessions using excavators AAC lends. Today AAC cannot verify where those machines work, how much fuel they use, how much tailings each concession holds, or whether every truck load reaches the plant.</w:t>
      </w:r>
    </w:p>
    <w:p>
      <w:pPr/>
      <w:r>
        <w:t xml:space="preserve">We propose one monitoring platform that tracks each machine, litre, tonne and truck load from concession to plant. It checks them against each other daily in a </w:t>
      </w:r>
      <w:r>
        <w:rPr>
          <w:b/>
        </w:rPr>
        <w:t xml:space="preserve">mass balance</w:t>
      </w:r>
      <w:r>
        <w:t xml:space="preserve">, so any gap shows within hours.</w:t>
      </w:r>
    </w:p>
    <w:p>
      <w:pPr>
        <w:pStyle w:val="ListParagraph"/>
        <w:numPr>
          <w:ilvl w:val="0"/>
          <w:numId w:val="2"/>
        </w:numPr>
      </w:pPr>
      <w:r>
        <w:rPr>
          <w:b/>
        </w:rPr>
        <w:t xml:space="preserve">Price:</w:t>
      </w:r>
      <w:r>
        <w:t xml:space="preserve"> a fixed-price pilot on 2 concessions for </w:t>
      </w:r>
      <w:r>
        <w:rPr>
          <w:b/>
        </w:rPr>
        <w:t xml:space="preserve">$372,000</w:t>
      </w:r>
      <w:r>
        <w:t xml:space="preserve">, then a choice of three rollout options.</w:t>
      </w:r>
    </w:p>
    <w:p>
      <w:pPr>
        <w:pStyle w:val="ListParagraph"/>
        <w:numPr>
          <w:ilvl w:val="0"/>
          <w:numId w:val="2"/>
        </w:numPr>
      </w:pPr>
      <w:r>
        <w:rPr>
          <w:b/>
        </w:rPr>
        <w:t xml:space="preserve">Timeline:</w:t>
      </w:r>
      <w:r>
        <w:t xml:space="preserve"> pilot live 7 December 2026; all concessions live 28 May 2027, before the rains.</w:t>
      </w:r>
    </w:p>
    <w:p>
      <w:pPr>
        <w:pStyle w:val="ListParagraph"/>
        <w:numPr>
          <w:ilvl w:val="0"/>
          <w:numId w:val="2"/>
        </w:numPr>
      </w:pPr>
      <w:r>
        <w:rPr>
          <w:b/>
        </w:rPr>
        <w:t xml:space="preserve">Return:</w:t>
      </w:r>
      <w:r>
        <w:t xml:space="preserve"> about </w:t>
      </w:r>
      <w:r>
        <w:rPr>
          <w:b/>
        </w:rPr>
        <w:t xml:space="preserve">$850,000 a year</w:t>
      </w:r>
      <w:r>
        <w:t xml:space="preserve"> in benefits to AAC, with payback in Year 1 or 2.</w:t>
      </w:r>
    </w:p>
    <w:p>
      <w:pPr>
        <w:pStyle w:val="Heading2"/>
      </w:pPr>
      <w:r>
        <w:t xml:space="preserve">2. The solution: four modules on one platform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does</w:t>
            </w:r>
          </w:p>
        </w:tc>
        <w:tc>
          <w:tcPr>
            <w:tcW w:w="3120" w:type="dxa"/>
            <w:shd w:val="clear" w:color="auto" w:fill="F2F2F2"/>
          </w:tcPr>
          <w:p>
            <w:pPr/>
            <w:r>
              <w:t xml:space="preserve">Impact for AAC, base case</w:t>
            </w:r>
          </w:p>
        </w:tc>
      </w:tr>
      <w:tr>
        <w:tc>
          <w:tcPr>
            <w:tcW w:w="3120" w:type="dxa"/>
          </w:tcPr>
          <w:p>
            <w:pPr/>
            <w:r>
              <w:rPr>
                <w:b/>
              </w:rPr>
              <w:t xml:space="preserve">Excavator Watch</w:t>
            </w:r>
          </w:p>
        </w:tc>
        <w:tc>
          <w:tcPr>
            <w:tcW w:w="3120" w:type="dxa"/>
          </w:tcPr>
          <w:p>
            <w:pPr/>
            <w:r>
              <w:t xml:space="preserve">Tamper-proof tracker on every lent excavator; each concession's licence boundary set as a geofence; alerts for out-of-zone or out-of-hours use</w:t>
            </w:r>
          </w:p>
        </w:tc>
        <w:tc>
          <w:tcPr>
            <w:tcW w:w="3120" w:type="dxa"/>
          </w:tcPr>
          <w:p>
            <w:pPr/>
            <w:r>
              <w:t xml:space="preserve">Proof machines work only on licensed ground; 10% more productive hours (about $134k a year)</w:t>
            </w:r>
          </w:p>
        </w:tc>
      </w:tr>
      <w:tr>
        <w:tc>
          <w:tcPr>
            <w:tcW w:w="3120" w:type="dxa"/>
          </w:tcPr>
          <w:p>
            <w:pPr/>
            <w:r>
              <w:rPr>
                <w:b/>
              </w:rPr>
              <w:t xml:space="preserve">Fuel Intelligence</w:t>
            </w:r>
          </w:p>
        </w:tc>
        <w:tc>
          <w:tcPr>
            <w:tcW w:w="3120" w:type="dxa"/>
          </w:tcPr>
          <w:p>
            <w:pPr/>
            <w:r>
              <w:t xml:space="preserve">RFID-controlled dispensing, in-tank sensors and engine burn data; AI flags siphoning and over-claims</w:t>
            </w:r>
          </w:p>
        </w:tc>
        <w:tc>
          <w:tcPr>
            <w:tcW w:w="3120" w:type="dxa"/>
          </w:tcPr>
          <w:p>
            <w:pPr/>
            <w:r>
              <w:t xml:space="preserve">12% less excavator fuel and 5% less truck fuel (about $116k a year)</w:t>
            </w:r>
          </w:p>
        </w:tc>
      </w:tr>
      <w:tr>
        <w:tc>
          <w:tcPr>
            <w:tcW w:w="3120" w:type="dxa"/>
          </w:tcPr>
          <w:p>
            <w:pPr/>
            <w:r>
              <w:rPr>
                <w:b/>
              </w:rPr>
              <w:t xml:space="preserve">Tailings Twin</w:t>
            </w:r>
          </w:p>
        </w:tc>
        <w:tc>
          <w:tcPr>
            <w:tcW w:w="3120" w:type="dxa"/>
          </w:tcPr>
          <w:p>
            <w:pPr/>
            <w:r>
              <w:t xml:space="preserve">Drone survey of each concession every two weeks, calibrated to a geologist's density and grade baseline</w:t>
            </w:r>
          </w:p>
        </w:tc>
        <w:tc>
          <w:tcPr>
            <w:tcW w:w="3120" w:type="dxa"/>
          </w:tcPr>
          <w:p>
            <w:pPr/>
            <w:r>
              <w:t xml:space="preserve">Tonnes and estimated gold per concession every two weeks; stops leakage, the largest benefit (about $551k a year)</w:t>
            </w:r>
          </w:p>
        </w:tc>
      </w:tr>
      <w:tr>
        <w:tc>
          <w:tcPr>
            <w:tcW w:w="3120" w:type="dxa"/>
          </w:tcPr>
          <w:p>
            <w:pPr/>
            <w:r>
              <w:rPr>
                <w:b/>
              </w:rPr>
              <w:t xml:space="preserve">Haul Trace</w:t>
            </w:r>
          </w:p>
        </w:tc>
        <w:tc>
          <w:tcPr>
            <w:tcW w:w="3120" w:type="dxa"/>
          </w:tcPr>
          <w:p>
            <w:pPr/>
            <w:r>
              <w:t xml:space="preserve">GPS on every truck, sealed e-waybill at the pit, number-plate and weighbridge check at the plant</w:t>
            </w:r>
          </w:p>
        </w:tc>
        <w:tc>
          <w:tcPr>
            <w:tcW w:w="3120" w:type="dxa"/>
          </w:tcPr>
          <w:p>
            <w:pPr/>
            <w:r>
              <w:t xml:space="preserve">Every load traced pit to plant; hauliers paid per verified tonne (about $30k a year)</w:t>
            </w:r>
          </w:p>
        </w:tc>
      </w:tr>
    </w:tbl>
    <w:p>
      <w:pPr/>
      <w:r>
        <w:t xml:space="preserve">A command centre dashboard and an offline, Amharic/English mobile app bring the four modules together. AAC owns all data.</w:t>
      </w:r>
    </w:p>
    <w:p>
      <w:pPr>
        <w:pStyle w:val="Heading2"/>
      </w:pPr>
      <w:r>
        <w:t xml:space="preserve">3. Delivery</w:t>
      </w:r>
    </w:p>
    <w:p>
      <w:pPr/>
      <w:r>
        <w:t xml:space="preserve">All installation and the pilot happen in the dry season, and full rollout finishes before the June rains.</w:t>
      </w:r>
    </w:p>
    <w:p>
      <w:pPr>
        <w:pStyle w:val="ListParagraph"/>
        <w:numPr>
          <w:ilvl w:val="0"/>
          <w:numId w:val="3"/>
        </w:numPr>
      </w:pPr>
      <w:r>
        <w:rPr>
          <w:b/>
        </w:rPr>
        <w:t xml:space="preserve">Pilot (Nov 2026 to Feb 2027):</w:t>
      </w:r>
      <w:r>
        <w:t xml:space="preserve"> baseline and install on 2 concessions, then 12 weeks of live operation. AAC decides at Gate 2 on 5 March 2027.</w:t>
      </w:r>
    </w:p>
    <w:p>
      <w:pPr>
        <w:pStyle w:val="ListParagraph"/>
        <w:numPr>
          <w:ilvl w:val="0"/>
          <w:numId w:val="3"/>
        </w:numPr>
      </w:pPr>
      <w:r>
        <w:rPr>
          <w:b/>
        </w:rPr>
        <w:t xml:space="preserve">Rollout (Mar to May 2027):</w:t>
      </w:r>
      <w:r>
        <w:t xml:space="preserve"> remaining concessions fitted and trained. Full go-live on 28 May 2027.</w:t>
      </w:r>
    </w:p>
    <w:p>
      <w:pPr>
        <w:pStyle w:val="ListParagraph"/>
        <w:numPr>
          <w:ilvl w:val="0"/>
          <w:numId w:val="3"/>
        </w:numPr>
      </w:pPr>
      <w:r>
        <w:rPr>
          <w:b/>
        </w:rPr>
        <w:t xml:space="preserve">Optimise (from Jun 2027):</w:t>
      </w:r>
      <w:r>
        <w:t xml:space="preserve"> AI models, ERP link, and a flight plan for the rainy season.</w:t>
      </w:r>
    </w:p>
    <w:p>
      <w:pPr/>
      <w:r>
        <w:rPr>
          <w:b/>
        </w:rPr>
        <w:t xml:space="preserve">Local delivery.</w:t>
      </w:r>
      <w:r>
        <w:t xml:space="preserve"> Smart Innovations GH leads the programme and builds the platform. An Addis Ababa partner provides customs, permits, translation and Assosa-based technicians. Drone and import permits are filed in week 1, with a licensed Ethiopian drone firm as backup. Field work follows a security plan agreed with AAC.</w:t>
      </w:r>
    </w:p>
    <w:p>
      <w:pPr/>
      <w:r>
        <w:rPr>
          <w:b/>
        </w:rPr>
        <w:t xml:space="preserve">AAC provides:</w:t>
      </w:r>
      <w:r>
        <w:t xml:space="preserve"> a sponsor and a plant project owner; licence coordinates and the fleet register; 3 to 6 months of fuel and weighbridge records; site access; and monitoring clauses in lending and haulage agreements (we draft these).</w:t>
      </w:r>
    </w:p>
    <w:p>
      <w:pPr>
        <w:pStyle w:val="Heading2"/>
      </w:pPr>
      <w:r>
        <w:t xml:space="preserve">4. Pricing (USD, excluding VAT and withholding tax)</w:t>
      </w:r>
    </w:p>
    <w:p>
      <w:pPr/>
      <w:r>
        <w:rPr>
          <w:b/>
        </w:rPr>
        <w:t xml:space="preserve">Pilot: $372,000 fixed</w:t>
      </w:r>
      <w:r>
        <w:t xml:space="preserve">, paid 40% at signature, 30% at Gate 1, 20% at pilot go-live and 10% on the results report. It covers hardware for 2 concessions, the platform, geologist baselines and 3 months of operation. It is credited in full against whichever rollout option AAC chooses.</w:t>
      </w:r>
    </w:p>
    <w:p>
      <w:pPr/>
      <w:r>
        <w:rPr>
          <w:b/>
        </w:rPr>
        <w:t xml:space="preserve">Rollout (8 concessions, 16 excavators, 24 trucks; priced pro rata to the confirmed fleet):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A: Fixed price + service</w:t>
            </w:r>
          </w:p>
        </w:tc>
        <w:tc>
          <w:tcPr>
            <w:tcW w:w="2340" w:type="dxa"/>
            <w:shd w:val="clear" w:color="auto" w:fill="F2F2F2"/>
          </w:tcPr>
          <w:p>
            <w:pPr/>
            <w:r>
              <w:t xml:space="preserve">B: Subscription</w:t>
            </w:r>
          </w:p>
        </w:tc>
        <w:tc>
          <w:tcPr>
            <w:tcW w:w="2340" w:type="dxa"/>
            <w:shd w:val="clear" w:color="auto" w:fill="F2F2F2"/>
          </w:tcPr>
          <w:p>
            <w:pPr/>
            <w:r>
              <w:t xml:space="preserve">C: Gain-share</w:t>
            </w:r>
          </w:p>
        </w:tc>
      </w:tr>
      <w:tr>
        <w:tc>
          <w:tcPr>
            <w:tcW w:w="2340" w:type="dxa"/>
          </w:tcPr>
          <w:p>
            <w:pPr/>
            <w:r>
              <w:t xml:space="preserve">Upfront</w:t>
            </w:r>
          </w:p>
        </w:tc>
        <w:tc>
          <w:tcPr>
            <w:tcW w:w="2340" w:type="dxa"/>
          </w:tcPr>
          <w:p>
            <w:pPr/>
            <w:r>
              <w:t xml:space="preserve">$709k implementation, including the pilot</w:t>
            </w:r>
          </w:p>
        </w:tc>
        <w:tc>
          <w:tcPr>
            <w:tcW w:w="2340" w:type="dxa"/>
          </w:tcPr>
          <w:p>
            <w:pPr/>
            <w:r>
              <w:t xml:space="preserve">Pilot fee only; $287k of it credited to subscription</w:t>
            </w:r>
          </w:p>
        </w:tc>
        <w:tc>
          <w:tcPr>
            <w:tcW w:w="2340" w:type="dxa"/>
          </w:tcPr>
          <w:p>
            <w:pPr/>
            <w:r>
              <w:t xml:space="preserve">$567k at cost, including the pilot</w:t>
            </w:r>
          </w:p>
        </w:tc>
      </w:tr>
      <w:tr>
        <w:tc>
          <w:tcPr>
            <w:tcW w:w="2340" w:type="dxa"/>
          </w:tcPr>
          <w:p>
            <w:pPr/>
            <w:r>
              <w:t xml:space="preserve">Ongoing</w:t>
            </w:r>
          </w:p>
        </w:tc>
        <w:tc>
          <w:tcPr>
            <w:tcW w:w="2340" w:type="dxa"/>
          </w:tcPr>
          <w:p>
            <w:pPr/>
            <w:r>
              <w:t xml:space="preserve">$30,000 a month</w:t>
            </w:r>
          </w:p>
        </w:tc>
        <w:tc>
          <w:tcPr>
            <w:tcW w:w="2340" w:type="dxa"/>
          </w:tcPr>
          <w:p>
            <w:pPr/>
            <w:r>
              <w:t xml:space="preserve">$41,720 a month ($240 per excavator, $120 per truck, $4,000 per concession, $3,000 plant hub)</w:t>
            </w:r>
          </w:p>
        </w:tc>
        <w:tc>
          <w:tcPr>
            <w:tcW w:w="2340" w:type="dxa"/>
          </w:tcPr>
          <w:p>
            <w:pPr/>
            <w:r>
              <w:t xml:space="preserve">$24,250 a month plus 20% of verified savings (about $139k a year)</w:t>
            </w:r>
          </w:p>
        </w:tc>
      </w:tr>
      <w:tr>
        <w:tc>
          <w:tcPr>
            <w:tcW w:w="2340" w:type="dxa"/>
          </w:tcPr>
          <w:p>
            <w:pPr/>
            <w:r>
              <w:t xml:space="preserve">Hardware owned by</w:t>
            </w:r>
          </w:p>
        </w:tc>
        <w:tc>
          <w:tcPr>
            <w:tcW w:w="2340" w:type="dxa"/>
          </w:tcPr>
          <w:p>
            <w:pPr/>
            <w:r>
              <w:t xml:space="preserve">AAC</w:t>
            </w:r>
          </w:p>
        </w:tc>
        <w:tc>
          <w:tcPr>
            <w:tcW w:w="2340" w:type="dxa"/>
          </w:tcPr>
          <w:p>
            <w:pPr/>
            <w:r>
              <w:t xml:space="preserve">Smart Innovations GH</w:t>
            </w:r>
          </w:p>
        </w:tc>
        <w:tc>
          <w:tcPr>
            <w:tcW w:w="2340" w:type="dxa"/>
          </w:tcPr>
          <w:p>
            <w:pPr/>
            <w:r>
              <w:t xml:space="preserve">AAC</w:t>
            </w:r>
          </w:p>
        </w:tc>
      </w:tr>
      <w:tr>
        <w:tc>
          <w:tcPr>
            <w:tcW w:w="2340" w:type="dxa"/>
          </w:tcPr>
          <w:p>
            <w:pPr/>
            <w:r>
              <w:t xml:space="preserve">Performance risk</w:t>
            </w:r>
          </w:p>
        </w:tc>
        <w:tc>
          <w:tcPr>
            <w:tcW w:w="2340" w:type="dxa"/>
          </w:tcPr>
          <w:p>
            <w:pPr/>
            <w:r>
              <w:t xml:space="preserve">AAC</w:t>
            </w:r>
          </w:p>
        </w:tc>
        <w:tc>
          <w:tcPr>
            <w:tcW w:w="2340" w:type="dxa"/>
          </w:tcPr>
          <w:p>
            <w:pPr/>
            <w:r>
              <w:t xml:space="preserve">Shared</w:t>
            </w:r>
          </w:p>
        </w:tc>
        <w:tc>
          <w:tcPr>
            <w:tcW w:w="2340" w:type="dxa"/>
          </w:tcPr>
          <w:p>
            <w:pPr/>
            <w:r>
              <w:t xml:space="preserve">Mostly Smart Innovations GH</w:t>
            </w:r>
          </w:p>
        </w:tc>
      </w:tr>
      <w:tr>
        <w:tc>
          <w:tcPr>
            <w:tcW w:w="2340" w:type="dxa"/>
          </w:tcPr>
          <w:p>
            <w:pPr/>
            <w:r>
              <w:t xml:space="preserve">Terms</w:t>
            </w:r>
          </w:p>
        </w:tc>
        <w:tc>
          <w:tcPr>
            <w:tcW w:w="2340" w:type="dxa"/>
          </w:tcPr>
          <w:p>
            <w:pPr/>
            <w:r>
              <w:t xml:space="preserve">Balance paid 50% at Gate 2, 50% at go-live</w:t>
            </w:r>
          </w:p>
        </w:tc>
        <w:tc>
          <w:tcPr>
            <w:tcW w:w="2340" w:type="dxa"/>
          </w:tcPr>
          <w:p>
            <w:pPr/>
            <w:r>
              <w:t xml:space="preserve">5 years; minimum 6 concessions</w:t>
            </w:r>
          </w:p>
        </w:tc>
        <w:tc>
          <w:tcPr>
            <w:tcW w:w="2340" w:type="dxa"/>
          </w:tcPr>
          <w:p>
            <w:pPr/>
            <w:r>
              <w:t xml:space="preserve">Savings measured against the Phase 0 baseline</w:t>
            </w:r>
          </w:p>
        </w:tc>
      </w:tr>
    </w:tbl>
    <w:p>
      <w:pPr>
        <w:pStyle w:val="Heading2"/>
      </w:pPr>
      <w:r>
        <w:t xml:space="preserve">5. Return to AAC</w:t>
      </w:r>
    </w:p>
    <w:p>
      <w:pPr/>
      <w:r>
        <w:t xml:space="preserve">Every option leaves AAC ahead over five years. These figures are net present values after all fees and AAC's own costs, at an 18% discount rate.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Base case</w:t>
            </w:r>
          </w:p>
        </w:tc>
        <w:tc>
          <w:tcPr>
            <w:tcW w:w="2340" w:type="dxa"/>
            <w:shd w:val="clear" w:color="auto" w:fill="F2F2F2"/>
          </w:tcPr>
          <w:p>
            <w:pPr/>
            <w:r>
              <w:t xml:space="preserve">Option A</w:t>
            </w:r>
          </w:p>
        </w:tc>
        <w:tc>
          <w:tcPr>
            <w:tcW w:w="2340" w:type="dxa"/>
            <w:shd w:val="clear" w:color="auto" w:fill="F2F2F2"/>
          </w:tcPr>
          <w:p>
            <w:pPr/>
            <w:r>
              <w:t xml:space="preserve">Option B</w:t>
            </w:r>
          </w:p>
        </w:tc>
        <w:tc>
          <w:tcPr>
            <w:tcW w:w="2340" w:type="dxa"/>
            <w:shd w:val="clear" w:color="auto" w:fill="F2F2F2"/>
          </w:tcPr>
          <w:p>
            <w:pPr/>
            <w:r>
              <w:t xml:space="preserve">Option C</w:t>
            </w:r>
          </w:p>
        </w:tc>
      </w:tr>
      <w:tr>
        <w:tc>
          <w:tcPr>
            <w:tcW w:w="2340" w:type="dxa"/>
          </w:tcPr>
          <w:p>
            <w:pPr/>
            <w:r>
              <w:t xml:space="preserve">Cash needed in Year 0</w:t>
            </w:r>
          </w:p>
        </w:tc>
        <w:tc>
          <w:tcPr>
            <w:tcW w:w="2340" w:type="dxa"/>
          </w:tcPr>
          <w:p>
            <w:pPr/>
            <w:r>
              <w:t xml:space="preserve">$799k</w:t>
            </w:r>
          </w:p>
        </w:tc>
        <w:tc>
          <w:tcPr>
            <w:tcW w:w="2340" w:type="dxa"/>
          </w:tcPr>
          <w:p>
            <w:pPr/>
            <w:r>
              <w:t xml:space="preserve">$372k</w:t>
            </w:r>
          </w:p>
        </w:tc>
        <w:tc>
          <w:tcPr>
            <w:tcW w:w="2340" w:type="dxa"/>
          </w:tcPr>
          <w:p>
            <w:pPr/>
            <w:r>
              <w:t xml:space="preserve">$654k</w:t>
            </w:r>
          </w:p>
        </w:tc>
      </w:tr>
      <w:tr>
        <w:tc>
          <w:tcPr>
            <w:tcW w:w="2340" w:type="dxa"/>
          </w:tcPr>
          <w:p>
            <w:pPr/>
            <w:r>
              <w:t xml:space="preserve">Net value to AAC over 5 years</w:t>
            </w:r>
          </w:p>
        </w:tc>
        <w:tc>
          <w:tcPr>
            <w:tcW w:w="2340" w:type="dxa"/>
          </w:tcPr>
          <w:p>
            <w:pPr/>
            <w:r>
              <w:t xml:space="preserve">$0.77M</w:t>
            </w:r>
          </w:p>
        </w:tc>
        <w:tc>
          <w:tcPr>
            <w:tcW w:w="2340" w:type="dxa"/>
          </w:tcPr>
          <w:p>
            <w:pPr/>
            <w:r>
              <w:t xml:space="preserve">$0.96M</w:t>
            </w:r>
          </w:p>
        </w:tc>
        <w:tc>
          <w:tcPr>
            <w:tcW w:w="2340" w:type="dxa"/>
          </w:tcPr>
          <w:p>
            <w:pPr/>
            <w:r>
              <w:t xml:space="preserve">$0.70M</w:t>
            </w:r>
          </w:p>
        </w:tc>
      </w:tr>
      <w:tr>
        <w:tc>
          <w:tcPr>
            <w:tcW w:w="2340" w:type="dxa"/>
          </w:tcPr>
          <w:p>
            <w:pPr/>
            <w:r>
              <w:t xml:space="preserve">Payback</w:t>
            </w:r>
          </w:p>
        </w:tc>
        <w:tc>
          <w:tcPr>
            <w:tcW w:w="2340" w:type="dxa"/>
          </w:tcPr>
          <w:p>
            <w:pPr/>
            <w:r>
              <w:t xml:space="preserve">Year 2</w:t>
            </w:r>
          </w:p>
        </w:tc>
        <w:tc>
          <w:tcPr>
            <w:tcW w:w="2340" w:type="dxa"/>
          </w:tcPr>
          <w:p>
            <w:pPr/>
            <w:r>
              <w:t xml:space="preserve">Year 1</w:t>
            </w:r>
          </w:p>
        </w:tc>
        <w:tc>
          <w:tcPr>
            <w:tcW w:w="2340" w:type="dxa"/>
          </w:tcPr>
          <w:p>
            <w:pPr/>
            <w:r>
              <w:t xml:space="preserve">Year 2</w:t>
            </w:r>
          </w:p>
        </w:tc>
      </w:tr>
    </w:tbl>
    <w:p>
      <w:pPr/>
      <w:r>
        <w:rPr>
          <w:b/>
        </w:rPr>
        <w:t xml:space="preserve">What moves the return most</w:t>
      </w:r>
    </w:p>
    <w:p>
      <w:pPr>
        <w:pStyle w:val="ListParagraph"/>
        <w:numPr>
          <w:ilvl w:val="0"/>
          <w:numId w:val="4"/>
        </w:numPr>
      </w:pPr>
      <w:r>
        <w:rPr>
          <w:b/>
        </w:rPr>
        <w:t xml:space="preserve">Leakage stopped.</w:t>
      </w:r>
      <w:r>
        <w:t xml:space="preserve"> AAC breaks even once the platform secures about 1.7% more feed than today, against 3% assumed. At 5%, AAC's net value under Option A rises to $1.96M; at 1% it becomes a $0.41M loss. The pilot measures this before AAC commits to the rollout.</w:t>
      </w:r>
    </w:p>
    <w:p>
      <w:pPr>
        <w:pStyle w:val="ListParagraph"/>
        <w:numPr>
          <w:ilvl w:val="0"/>
          <w:numId w:val="4"/>
        </w:numPr>
      </w:pPr>
      <w:r>
        <w:rPr>
          <w:b/>
        </w:rPr>
        <w:t xml:space="preserve">Number of concessions.</w:t>
      </w:r>
      <w:r>
        <w:t xml:space="preserve"> With 4 concessions, Options A and C roughly break even. Option B stays positive at $0.40M, because we carry the hardware cost.</w:t>
      </w:r>
    </w:p>
    <w:p>
      <w:pPr>
        <w:pStyle w:val="ListParagraph"/>
        <w:numPr>
          <w:ilvl w:val="0"/>
          <w:numId w:val="4"/>
        </w:numPr>
      </w:pPr>
      <w:r>
        <w:rPr>
          <w:b/>
        </w:rPr>
        <w:t xml:space="preserve">Grade and gold price.</w:t>
      </w:r>
      <w:r>
        <w:t xml:space="preserve"> Grade from 0.8 to 1.6 g/t moves Option A's value from $0.18M to $1.37M. Gold from $2,800 to $4,200/oz moves it from $0.42M to $1.13M.</w:t>
      </w:r>
    </w:p>
    <w:p>
      <w:pPr>
        <w:pStyle w:val="ListParagraph"/>
        <w:numPr>
          <w:ilvl w:val="0"/>
          <w:numId w:val="4"/>
        </w:numPr>
      </w:pPr>
      <w:r>
        <w:rPr>
          <w:b/>
        </w:rPr>
        <w:t xml:space="preserve">Fuel, hardware and running-cost assumptions</w:t>
      </w:r>
      <w:r>
        <w:t xml:space="preserve"> move the result by less than $0.5M each.</w:t>
      </w:r>
    </w:p>
    <w:p>
      <w:pPr/>
      <w:r>
        <w:t xml:space="preserve">A full sensitivity table and bear and bull scenarios are in the detailed proposal and the financial model.</w:t>
      </w:r>
    </w:p>
    <w:p>
      <w:pPr>
        <w:pStyle w:val="Heading2"/>
      </w:pPr>
      <w:r>
        <w:t xml:space="preserve">6. Key assumptions and next steps</w:t>
      </w:r>
    </w:p>
    <w:p>
      <w:pPr/>
      <w:r>
        <w:rPr>
          <w:b/>
        </w:rPr>
        <w:t xml:space="preserve">Assumptions to confirm in Phase 0</w:t>
      </w:r>
    </w:p>
    <w:p>
      <w:pPr>
        <w:pStyle w:val="ListParagraph"/>
        <w:numPr>
          <w:ilvl w:val="0"/>
          <w:numId w:val="5"/>
        </w:numPr>
      </w:pPr>
      <w:r>
        <w:t xml:space="preserve">8 concessions, each with 2 excavators and 3 trucks.</w:t>
      </w:r>
    </w:p>
    <w:p>
      <w:pPr>
        <w:pStyle w:val="ListParagraph"/>
        <w:numPr>
          <w:ilvl w:val="0"/>
          <w:numId w:val="5"/>
        </w:numPr>
      </w:pPr>
      <w:r>
        <w:t xml:space="preserve">About 50,000 t of feed a year per concession, at about 1.2 g/t and 85% recovery.</w:t>
      </w:r>
    </w:p>
    <w:p>
      <w:pPr>
        <w:pStyle w:val="ListParagraph"/>
        <w:numPr>
          <w:ilvl w:val="0"/>
          <w:numId w:val="5"/>
        </w:numPr>
      </w:pPr>
      <w:r>
        <w:t xml:space="preserve">Gold at about $3,500/oz and diesel at about $0.85/L.</w:t>
      </w:r>
    </w:p>
    <w:p>
      <w:pPr>
        <w:pStyle w:val="ListParagraph"/>
        <w:numPr>
          <w:ilvl w:val="0"/>
          <w:numId w:val="5"/>
        </w:numPr>
      </w:pPr>
      <w:r>
        <w:t xml:space="preserve">A working weighbridge at the plant.</w:t>
      </w:r>
    </w:p>
    <w:p>
      <w:pPr>
        <w:pStyle w:val="ListParagraph"/>
        <w:numPr>
          <w:ilvl w:val="0"/>
          <w:numId w:val="5"/>
        </w:numPr>
      </w:pPr>
      <w:r>
        <w:t xml:space="preserve">Hardware prices are estimates, pending vendor quotes. Any change above 10% will be agreed with AAC first.</w:t>
      </w:r>
    </w:p>
    <w:p>
      <w:pPr/>
      <w:r>
        <w:rPr>
          <w:b/>
        </w:rPr>
        <w:t xml:space="preserve">Next steps</w:t>
      </w:r>
    </w:p>
    <w:p>
      <w:pPr>
        <w:pStyle w:val="ListParagraph"/>
        <w:numPr>
          <w:ilvl w:val="0"/>
          <w:numId w:val="6"/>
        </w:numPr>
      </w:pPr>
      <w:r>
        <w:t xml:space="preserve">☐ AAC shares its fleet register, licence coordinates, and fuel and weighbridge records</w:t>
      </w:r>
    </w:p>
    <w:p>
      <w:pPr>
        <w:pStyle w:val="ListParagraph"/>
        <w:numPr>
          <w:ilvl w:val="0"/>
          <w:numId w:val="6"/>
        </w:numPr>
      </w:pPr>
      <w:r>
        <w:t xml:space="preserve">☐ Choose the 2 pilot concessions and agree the security plan</w:t>
      </w:r>
    </w:p>
    <w:p>
      <w:pPr>
        <w:pStyle w:val="ListParagraph"/>
        <w:numPr>
          <w:ilvl w:val="0"/>
          <w:numId w:val="6"/>
        </w:numPr>
      </w:pPr>
      <w:r>
        <w:t xml:space="preserve">☐ Sign the pilot contract by </w:t>
      </w:r>
      <w:r>
        <w:t xml:space="preserve">Oct 30, 2026</w:t>
      </w:r>
      <w:r>
        <w:t xml:space="preserve"> to keep the rollout inside the dry season</w:t>
      </w:r>
    </w:p>
    <w:p>
      <w:pPr/>
      <w:r>
        <w:t xml:space="preserve">This proposal is valid until </w:t>
      </w:r>
      <w:r>
        <w:t xml:space="preserve">Nov 26, 2026</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AAC Assosa CIL Plant Monitoring Proposal (Summary)</dc:title>
  <dc:description>Claude Docs node/0a1faa02-9c2c@7 docx-w6</dc:description>
  <cp:revision>7</cp:revision>
</cp:coreProperties>
</file>