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color w:val="595959"/>
          <w:sz w:val="28"/>
          <w:szCs w:val="28"/>
        </w:rPr>
        <w:t xml:space="preserve">Proposal</w:t>
      </w:r>
    </w:p>
    <w:p>
      <w:pPr>
        <w:spacing w:after="120"/>
      </w:pPr>
      <w:r>
        <w:rPr>
          <w:b/>
          <w:bCs/>
          <w:color w:val="1F3864"/>
          <w:sz w:val="44"/>
          <w:szCs w:val="44"/>
        </w:rPr>
        <w:t xml:space="preserve">An evidence-first partnership for Mine-to-Mill monitoring</w:t>
      </w:r>
    </w:p>
    <w:p>
      <w:pPr>
        <w:spacing w:after="360"/>
      </w:pPr>
      <w:r>
        <w:rPr>
          <w:sz w:val="26"/>
          <w:szCs w:val="26"/>
        </w:rPr>
        <w:t xml:space="preserve">20 sites within 100 km of AAC's processing plant near Assosa, Ethiopia</w:t>
      </w:r>
    </w:p>
    <w:p>
      <w:pPr>
        <w:spacing w:after="120" w:line="276"/>
      </w:pPr>
      <w:r>
        <w:rPr>
          <w:b/>
          <w:bCs/>
        </w:rPr>
        <w:t xml:space="preserve">Prepared for: </w:t>
      </w:r>
      <w:r>
        <w:t xml:space="preserve">Accountable Africa Capital (AAC)</w:t>
      </w:r>
    </w:p>
    <w:p>
      <w:pPr>
        <w:spacing w:after="120" w:line="276"/>
      </w:pPr>
      <w:r>
        <w:rPr>
          <w:b/>
          <w:bCs/>
        </w:rPr>
        <w:t xml:space="preserve">Prepared by: </w:t>
      </w:r>
      <w:r>
        <w:t xml:space="preserve">Smart Innovations GH</w:t>
      </w:r>
    </w:p>
    <w:p>
      <w:pPr>
        <w:spacing w:after="120" w:line="276"/>
      </w:pPr>
      <w:r>
        <w:rPr>
          <w:b/>
          <w:bCs/>
        </w:rPr>
        <w:t xml:space="preserve">Date: </w:t>
      </w:r>
      <w:r>
        <w:t xml:space="preserve">28 September 2026</w:t>
      </w:r>
    </w:p>
    <w:p>
      <w:pPr>
        <w:spacing w:after="120" w:line="276"/>
      </w:pPr>
      <w:r>
        <w:rPr>
          <w:i/>
          <w:iCs/>
          <w:color w:val="595959"/>
          <w:sz w:val="18"/>
          <w:szCs w:val="18"/>
        </w:rPr>
        <w:t xml:space="preserve">Confidential. This version sets out the approach and commercial structure. Pricing is provided separately.</w:t>
      </w:r>
    </w:p>
    <w:p>
      <w:r>
        <w:br w:type="page"/>
      </w:r>
    </w:p>
    <w:p>
      <w:pPr>
        <w:pStyle w:val="Heading1"/>
        <w:spacing w:after="120" w:before="280"/>
      </w:pPr>
      <w:r>
        <w:t xml:space="preserve">1. Summary</w:t>
      </w:r>
    </w:p>
    <w:p>
      <w:pPr>
        <w:spacing w:after="120" w:line="276"/>
      </w:pPr>
      <w:r>
        <w:t xml:space="preserve">AAC wants to control the feed to its processing plant: where the excavators it lends are working, how much fuel they use, how much tailings each site holds, and whether every truck load reaches the plant. AAC is now focusing on 20 sites within 100 km of the plant, and has told us it is open to a partnership.</w:t>
      </w:r>
    </w:p>
    <w:p>
      <w:pPr>
        <w:spacing w:after="120" w:line="276"/>
      </w:pPr>
      <w:r>
        <w:t xml:space="preserve">Today, neither AAC nor Smart Innovations GH can verify what is on the ground at those 20 sites. We therefore do not think it is right to ask AAC to commit to a full rollout based on assumptions. Instead we propose a partnership in three stages, where each stage produces the evidence for the next:</w:t>
      </w:r>
    </w:p>
    <w:p>
      <w:pPr>
        <w:pStyle w:val="ListParagraph"/>
        <w:numPr>
          <w:ilvl w:val="0"/>
          <w:numId w:val="2"/>
        </w:numPr>
        <w:spacing w:after="60" w:line="264"/>
      </w:pPr>
      <w:r>
        <w:rPr>
          <w:b/>
          <w:bCs/>
        </w:rPr>
        <w:t xml:space="preserve">Discover (Nov - Dec 2026). </w:t>
      </w:r>
      <w:r>
        <w:t xml:space="preserve">We ground-truth all 20 sites and AAC's own records, and deliver a verified baseline and a site ranking. This is the only firm commitment AAC makes now, for a fixed price.</w:t>
      </w:r>
    </w:p>
    <w:p>
      <w:pPr>
        <w:pStyle w:val="ListParagraph"/>
        <w:numPr>
          <w:ilvl w:val="0"/>
          <w:numId w:val="2"/>
        </w:numPr>
        <w:spacing w:after="60" w:line="264"/>
      </w:pPr>
      <w:r>
        <w:rPr>
          <w:b/>
          <w:bCs/>
        </w:rPr>
        <w:t xml:space="preserve">Prove (4-site pilot, Jan - Apr 2027). </w:t>
      </w:r>
      <w:r>
        <w:t xml:space="preserve">AAC buys the pilot hardware at cost and keeps it. We put 30% of our pilot fee at risk against agreed targets.</w:t>
      </w:r>
    </w:p>
    <w:p>
      <w:pPr>
        <w:pStyle w:val="ListParagraph"/>
        <w:numPr>
          <w:ilvl w:val="0"/>
          <w:numId w:val="2"/>
        </w:numPr>
        <w:spacing w:after="60" w:line="264"/>
      </w:pPr>
      <w:r>
        <w:rPr>
          <w:b/>
          <w:bCs/>
        </w:rPr>
        <w:t xml:space="preserve">Scale (5-year partnership from May 2027). </w:t>
      </w:r>
      <w:r>
        <w:t xml:space="preserve">Running fees close to cost, on an open-book basis. Our margin comes mainly from a 20% share of gains the platform verifies, with an annual cap.</w:t>
      </w:r>
    </w:p>
    <w:p>
      <w:pPr>
        <w:spacing w:after="120" w:line="276"/>
      </w:pPr>
      <w:r>
        <w:t xml:space="preserve">Compared with a conventional fixed-price contract or a subscription, the partnership gives AAC the best result in our base case and the smallest downside if results are poor. At each stage AAC can stop, and its exposure is limited to the stages it has completed.</w:t>
      </w:r>
    </w:p>
    <w:p>
      <w:pPr>
        <w:pStyle w:val="Heading1"/>
        <w:spacing w:after="120" w:before="280"/>
      </w:pPr>
      <w:r>
        <w:t xml:space="preserve">2. What we heard from AAC</w:t>
      </w:r>
    </w:p>
    <w:p>
      <w:pPr>
        <w:pStyle w:val="ListParagraph"/>
        <w:numPr>
          <w:ilvl w:val="0"/>
          <w:numId w:val="3"/>
        </w:numPr>
        <w:spacing w:after="60" w:line="264"/>
      </w:pPr>
      <w:r>
        <w:t xml:space="preserve">The focus is 20 sites within 100 km of a privately owned processing plant near Assosa.</w:t>
      </w:r>
    </w:p>
    <w:p>
      <w:pPr>
        <w:pStyle w:val="ListParagraph"/>
        <w:numPr>
          <w:ilvl w:val="0"/>
          <w:numId w:val="3"/>
        </w:numPr>
        <w:spacing w:after="60" w:line="264"/>
      </w:pPr>
      <w:r>
        <w:t xml:space="preserve">There is no verified data yet on tailings stock, grade, fleet deployed, fuel loss or feed leakage at those sites.</w:t>
      </w:r>
    </w:p>
    <w:p>
      <w:pPr>
        <w:pStyle w:val="ListParagraph"/>
        <w:numPr>
          <w:ilvl w:val="0"/>
          <w:numId w:val="3"/>
        </w:numPr>
        <w:spacing w:after="60" w:line="264"/>
      </w:pPr>
      <w:r>
        <w:t xml:space="preserve">AAC is open to a partnership approach and asked for our preferred model.</w:t>
      </w:r>
    </w:p>
    <w:p>
      <w:pPr>
        <w:spacing w:after="120" w:line="276"/>
      </w:pPr>
      <w:r>
        <w:t xml:space="preserve">Our response is built around those three points: start by measuring, share the risk, and make every decision rest on verified data.</w:t>
      </w:r>
    </w:p>
    <w:p>
      <w:pPr>
        <w:pStyle w:val="Heading1"/>
        <w:spacing w:after="120" w:before="280"/>
      </w:pPr>
      <w:r>
        <w:t xml:space="preserve">3. Our recommended partnership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75"/>
        <w:gridCol w:w="2375"/>
        <w:gridCol w:w="237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
            </w:r>
          </w:p>
        </w:tc>
        <w:tc>
          <w:tcPr>
            <w:tcW w:type="dxa" w:w="237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Stage 1: Discover</w:t>
            </w:r>
          </w:p>
        </w:tc>
        <w:tc>
          <w:tcPr>
            <w:tcW w:type="dxa" w:w="237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Stage 2: Prove</w:t>
            </w:r>
          </w:p>
        </w:tc>
        <w:tc>
          <w:tcPr>
            <w:tcW w:type="dxa" w:w="23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Stage 3: Scale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When</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Nov - Dec 2026</w:t>
            </w:r>
          </w:p>
          <w:p>
            <w:pPr>
              <w:jc w:val="left"/>
            </w:pPr>
            <w:r>
              <w:rPr>
                <w:b w:val="false"/>
                <w:bCs w:val="false"/>
                <w:sz w:val="19"/>
                <w:szCs w:val="19"/>
              </w:rPr>
              <w:t xml:space="preserve">6 to 8 weeks</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Jan - Apr 2027</w:t>
            </w:r>
          </w:p>
          <w:p>
            <w:pPr>
              <w:jc w:val="left"/>
            </w:pPr>
            <w:r>
              <w:rPr>
                <w:b w:val="false"/>
                <w:bCs w:val="false"/>
                <w:sz w:val="19"/>
                <w:szCs w:val="19"/>
              </w:rPr>
              <w:t xml:space="preserve">12 weeks, dry season</w:t>
            </w:r>
          </w:p>
        </w:tc>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From May 2027</w:t>
            </w:r>
          </w:p>
          <w:p>
            <w:pPr>
              <w:jc w:val="left"/>
            </w:pPr>
            <w:r>
              <w:rPr>
                <w:b w:val="false"/>
                <w:bCs w:val="false"/>
                <w:sz w:val="19"/>
                <w:szCs w:val="19"/>
              </w:rPr>
              <w:t xml:space="preserve">5-year term</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Scope</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All 20 sites: satellite screening, field visits, drone baseline, sampling at 8 sites, AAC data review</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4 best sites: full monitoring and a live mass balance</w:t>
            </w:r>
          </w:p>
        </w:tc>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All viable sites, tiered by value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How AAC pays</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Fixed price</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Hardware at cost + services fee, 30% of it paid only if KPIs are met</w:t>
            </w:r>
          </w:p>
        </w:tc>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Near-cost running fees + 20% of verified gains, capped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Our risk</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Fixed price</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30% of services fee at risk</w:t>
            </w:r>
          </w:p>
        </w:tc>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Most of our margin depends on verified gains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Hardware</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None</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At cost, AAC owns</w:t>
            </w:r>
          </w:p>
        </w:tc>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At cost, AAC owns, open book</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AAC can exit</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After the report</w:t>
            </w:r>
          </w:p>
        </w:tc>
        <w:tc>
          <w:tcPr>
            <w:tcW w:type="dxa" w:w="2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If KPIs are missed</w:t>
            </w:r>
          </w:p>
        </w:tc>
        <w:tc>
          <w:tcPr>
            <w:tcW w:type="dxa" w:w="2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Annual review; exit on notice</w:t>
            </w:r>
          </w:p>
        </w:tc>
      </w:tr>
    </w:tbl>
    <w:p>
      <w:pPr>
        <w:spacing w:after="60"/>
      </w:pPr>
    </w:p>
    <w:p>
      <w:pPr>
        <w:pStyle w:val="Heading1"/>
        <w:spacing w:after="120" w:before="280"/>
      </w:pPr>
      <w:r>
        <w:t xml:space="preserve">4. Stage 1: Discover</w:t>
      </w:r>
    </w:p>
    <w:p>
      <w:pPr>
        <w:spacing w:after="120" w:line="276"/>
      </w:pPr>
      <w:r>
        <w:t xml:space="preserve">Stage 1 replaces every assumption with measured data before anything larger is committed.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4226"/>
      </w:tblGrid>
      <w:tr>
        <w:trPr>
          <w:cantSplit/>
          <w:tblHeader/>
        </w:trPr>
        <w:tc>
          <w:tcPr>
            <w:tcW w:type="dxa" w:w="4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Work package</w:t>
            </w:r>
          </w:p>
        </w:tc>
        <w:tc>
          <w:tcPr>
            <w:tcW w:type="dxa" w:w="4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Output</w:t>
            </w:r>
          </w:p>
        </w:tc>
      </w:tr>
      <w:tr>
        <w:trPr>
          <w:cantSplit/>
          <w:tblHeader w:val="false"/>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Satellite screening of all 20 sites</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Disturbance history, stockpile footprints, access</w:t>
            </w:r>
          </w:p>
        </w:tc>
      </w:tr>
      <w:tr>
        <w:trPr>
          <w:cantSplit/>
          <w:tblHeader w:val="false"/>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Field verification visits to all 20 sites (team, Ethiopian partner, vehicle, security)</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GPS boundaries, equipment count, site-holder interviews</w:t>
            </w:r>
          </w:p>
        </w:tc>
      </w:tr>
      <w:tr>
        <w:trPr>
          <w:cantSplit/>
          <w:tblHeader w:val="false"/>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Baseline drone flight at every site (licensed Ethiopian drone firm)</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Stockpile volume per site</w:t>
            </w:r>
          </w:p>
        </w:tc>
      </w:tr>
      <w:tr>
        <w:trPr>
          <w:cantSplit/>
          <w:tblHeader w:val="false"/>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Sampling and assays at the 8 most promising sites</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Density and grade per site</w:t>
            </w:r>
          </w:p>
        </w:tc>
      </w:tr>
      <w:tr>
        <w:trPr>
          <w:cantSplit/>
          <w:tblHeader w:val="false"/>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Review of AAC fuel invoices, weighbridge records, lending and haulage agreements</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Current fuel loss and feed leakage estimate</w:t>
            </w:r>
          </w:p>
        </w:tc>
      </w:tr>
      <w:tr>
        <w:trPr>
          <w:cantSplit/>
          <w:tblHeader w:val="false"/>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Verified Baseline Report, site ranking and business case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Go / no-go and pilot site selection</w:t>
            </w:r>
          </w:p>
        </w:tc>
      </w:tr>
    </w:tbl>
    <w:p>
      <w:pPr>
        <w:spacing w:after="60"/>
      </w:pPr>
    </w:p>
    <w:p>
      <w:pPr>
        <w:spacing w:after="120" w:line="276"/>
      </w:pPr>
      <w:r>
        <w:rPr>
          <w:b/>
          <w:bCs/>
        </w:rPr>
        <w:t xml:space="preserve">Commercial basis: </w:t>
      </w:r>
      <w:r>
        <w:t xml:space="preserve">fixed price, paid 50% on signature and 50% on delivery of the Verified Baseline Report.</w:t>
      </w:r>
    </w:p>
    <w:p>
      <w:pPr>
        <w:pStyle w:val="Heading1"/>
        <w:spacing w:after="120" w:before="280"/>
      </w:pPr>
      <w:r>
        <w:t xml:space="preserve">5. Stage 2: Prove</w:t>
      </w:r>
    </w:p>
    <w:p>
      <w:pPr>
        <w:spacing w:after="120" w:line="276"/>
      </w:pPr>
      <w:r>
        <w:t xml:space="preserve">A 12-week pilot on the 4 highest-value sites, chosen from the Stage 1 ranking, run in the dry season.</w:t>
      </w:r>
    </w:p>
    <w:p>
      <w:pPr>
        <w:pStyle w:val="ListParagraph"/>
        <w:numPr>
          <w:ilvl w:val="0"/>
          <w:numId w:val="3"/>
        </w:numPr>
        <w:spacing w:after="60" w:line="264"/>
      </w:pPr>
      <w:r>
        <w:rPr>
          <w:b/>
          <w:bCs/>
        </w:rPr>
        <w:t xml:space="preserve">Hardware: </w:t>
      </w:r>
      <w:r>
        <w:t xml:space="preserve">trackers and fuel sensors for about 5 excavators, GPS and dashcams for about 6 trucks, 4 fuel dispensers, 2 gateways, the plant weighbridge link and 1 drone kit. Supplied at cost, landed in Assosa. AAC owns it whatever it decides at Gate 2.</w:t>
      </w:r>
    </w:p>
    <w:p>
      <w:pPr>
        <w:pStyle w:val="ListParagraph"/>
        <w:numPr>
          <w:ilvl w:val="0"/>
          <w:numId w:val="3"/>
        </w:numPr>
        <w:spacing w:after="60" w:line="264"/>
      </w:pPr>
      <w:r>
        <w:rPr>
          <w:b/>
          <w:bCs/>
        </w:rPr>
        <w:t xml:space="preserve">Services: </w:t>
      </w:r>
      <w:r>
        <w:t xml:space="preserve">platform set-up, installation, 6 drone cycles per site, live mass balance and training. 70% is paid as fixed milestones; 30% is paid only if all KPIs are met.</w:t>
      </w:r>
    </w:p>
    <w:p>
      <w:pPr>
        <w:spacing w:after="120" w:line="276"/>
      </w:pPr>
      <w:r>
        <w:rPr>
          <w:b/>
          <w:bCs/>
        </w:rPr>
        <w:t xml:space="preserve">Pilot KPIs, agreed in writing at the end of Stage 1:</w:t>
      </w:r>
    </w:p>
    <w:p>
      <w:pPr>
        <w:pStyle w:val="ListParagraph"/>
        <w:numPr>
          <w:ilvl w:val="0"/>
          <w:numId w:val="3"/>
        </w:numPr>
        <w:spacing w:after="60" w:line="264"/>
      </w:pPr>
      <w:r>
        <w:t xml:space="preserve">Mass balance closes: drone tonnage against weighbridge tonnes within 10% at each pilot site.</w:t>
      </w:r>
    </w:p>
    <w:p>
      <w:pPr>
        <w:pStyle w:val="ListParagraph"/>
        <w:numPr>
          <w:ilvl w:val="0"/>
          <w:numId w:val="3"/>
        </w:numPr>
        <w:spacing w:after="60" w:line="264"/>
      </w:pPr>
      <w:r>
        <w:t xml:space="preserve">100% of pilot truck loads traced from pit seal to weighbridge.</w:t>
      </w:r>
    </w:p>
    <w:p>
      <w:pPr>
        <w:pStyle w:val="ListParagraph"/>
        <w:numPr>
          <w:ilvl w:val="0"/>
          <w:numId w:val="3"/>
        </w:numPr>
        <w:spacing w:after="60" w:line="264"/>
      </w:pPr>
      <w:r>
        <w:t xml:space="preserve">Every pilot excavator hour classified and geofenced, with alerts within 5 minutes.</w:t>
      </w:r>
    </w:p>
    <w:p>
      <w:pPr>
        <w:pStyle w:val="ListParagraph"/>
        <w:numPr>
          <w:ilvl w:val="0"/>
          <w:numId w:val="3"/>
        </w:numPr>
        <w:spacing w:after="60" w:line="264"/>
      </w:pPr>
      <w:r>
        <w:t xml:space="preserve">Fuel issued against fuel burned reconciled within 3%.</w:t>
      </w:r>
    </w:p>
    <w:p>
      <w:pPr>
        <w:pStyle w:val="ListParagraph"/>
        <w:numPr>
          <w:ilvl w:val="0"/>
          <w:numId w:val="3"/>
        </w:numPr>
        <w:spacing w:after="60" w:line="264"/>
      </w:pPr>
      <w:r>
        <w:t xml:space="preserve">Verified gains measured and signed off jointly. These become the Stage 3 baseline.</w:t>
      </w:r>
    </w:p>
    <w:p>
      <w:pPr>
        <w:pStyle w:val="Heading1"/>
        <w:spacing w:after="120" w:before="280"/>
      </w:pPr>
      <w:r>
        <w:t xml:space="preserve">6. Stage 3: Scale - partnership terms</w:t>
      </w:r>
    </w:p>
    <w:p>
      <w:pPr>
        <w:spacing w:after="120" w:line="276"/>
      </w:pPr>
      <w:r>
        <w:t xml:space="preserve">Each site is placed on a tier according to its measured value. A site is instrumented only if it repays its onboarding and hardware cost within two years; otherwise it stays on low-cost satellite watch.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13"/>
        <w:gridCol w:w="2713"/>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Element</w:t>
            </w:r>
          </w:p>
        </w:tc>
        <w:tc>
          <w:tcPr>
            <w:tcW w:type="dxa" w:w="37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What it covers</w:t>
            </w:r>
          </w:p>
        </w:tc>
        <w:tc>
          <w:tcPr>
            <w:tcW w:type="dxa" w:w="27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Basis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Platform fee</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Command centre, support desk, cloud, mobile app, reporting</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Monthly, cost plus 10%</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Tier 1 site</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Drone survey every 2 weeks, full devices</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Monthly per site, cost plus 10%</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Tier 2 site</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Drone survey monthly plus satellite, full devices</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Monthly per site, cost plus 10%</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Watch site</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Satellite change detection only</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Monthly per site, cost plus 10%</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Device service</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SIM, maintenance, support per excavator, truck and fuel point</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Monthly per device, cost plus 10%</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Onboarding</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Boundary survey, geologist baseline, installation, training</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One-off per site, by tier</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Hardware</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Trackers, sensors, dispensers, gateways, drones</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At cost plus import; AAC owns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Performance fee</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20% of verified gains</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Paid quarterly, capped each year</w:t>
            </w:r>
          </w:p>
        </w:tc>
      </w:tr>
    </w:tbl>
    <w:p>
      <w:pPr>
        <w:spacing w:after="60"/>
      </w:pPr>
    </w:p>
    <w:p>
      <w:pPr>
        <w:spacing w:after="120" w:line="276"/>
      </w:pPr>
      <w:r>
        <w:rPr>
          <w:b/>
          <w:bCs/>
        </w:rPr>
        <w:t xml:space="preserve">How verified gains are defined. </w:t>
      </w:r>
      <w:r>
        <w:t xml:space="preserve">Gains are the improvement against the signed Stage 2 baseline in three measurable areas only: AAC's margin on extra gold from feed that no longer leaks between site and plant; fuel saved; and haulage over-claims removed. Utilisation and theft benefits are not included in the fee. Gains are calculated monthly from the mass balance and fuel reconciliation, and audited independently once a year.</w:t>
      </w:r>
    </w:p>
    <w:p>
      <w:pPr>
        <w:spacing w:after="120" w:line="276"/>
      </w:pPr>
      <w:r>
        <w:rPr>
          <w:b/>
          <w:bCs/>
        </w:rPr>
        <w:t xml:space="preserve">Open book. </w:t>
      </w:r>
      <w:r>
        <w:t xml:space="preserve">We share our cost base annually and true up fees if costs move by more than 10% either way.</w:t>
      </w:r>
    </w:p>
    <w:p>
      <w:pPr>
        <w:pStyle w:val="Heading1"/>
        <w:spacing w:after="120" w:before="280"/>
      </w:pPr>
      <w:r>
        <w:t xml:space="preserve">7. Why a partnership rather than a fixed price or a subscription</w:t>
      </w:r>
    </w:p>
    <w:p>
      <w:pPr>
        <w:spacing w:after="120" w:line="276"/>
      </w:pPr>
      <w:r>
        <w:t xml:space="preserve">We modelled three ways for AAC to pay for the same sites, benefits and first two stages. The partnership comes out best for AAC in the base case. It also protects AAC best if results are poor, in return for a smaller share of the upside if results are strong.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2200"/>
        <w:gridCol w:w="2200"/>
        <w:gridCol w:w="2200"/>
      </w:tblGrid>
      <w:tr>
        <w:trPr>
          <w:cantSplit/>
          <w:tblHeader/>
        </w:trPr>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For AAC</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A: Fixed price + service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B: Subscription</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C: Partnership (recommended)</w:t>
            </w:r>
          </w:p>
        </w:tc>
      </w:tr>
      <w:tr>
        <w:trPr>
          <w:cantSplit/>
          <w:tblHeader w:val="false"/>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Return, base case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Around break-even, slightly negative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Around break-even, slightly negative</w:t>
            </w:r>
          </w:p>
        </w:tc>
        <w:tc>
          <w:tcPr>
            <w:tcW w:type="dxa" w:w="2200"/>
            <w:tcBorders>
              <w:top w:val="single" w:color="BFBFBF" w:sz="4"/>
              <w:left w:val="single" w:color="BFBFBF" w:sz="4"/>
              <w:bottom w:val="single" w:color="BFBFBF" w:sz="4"/>
              <w:right w:val="single" w:color="BFBFBF" w:sz="4"/>
            </w:tcBorders>
            <w:shd w:fill="EAF1DD" w:color="auto" w:val="clear"/>
            <w:tcMar>
              <w:top w:type="dxa" w:w="60"/>
              <w:left w:type="dxa" w:w="100"/>
              <w:bottom w:type="dxa" w:w="60"/>
              <w:right w:type="dxa" w:w="100"/>
            </w:tcMar>
          </w:tcPr>
          <w:p>
            <w:pPr>
              <w:jc w:val="left"/>
            </w:pPr>
            <w:r>
              <w:rPr>
                <w:b w:val="false"/>
                <w:bCs w:val="false"/>
                <w:sz w:val="19"/>
                <w:szCs w:val="19"/>
              </w:rPr>
              <w:t xml:space="preserve">Best of the three, positive</w:t>
            </w:r>
          </w:p>
        </w:tc>
      </w:tr>
      <w:tr>
        <w:trPr>
          <w:cantSplit/>
          <w:tblHeader w:val="false"/>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Downside if results are poor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Largest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Largest</w:t>
            </w:r>
          </w:p>
        </w:tc>
        <w:tc>
          <w:tcPr>
            <w:tcW w:type="dxa" w:w="2200"/>
            <w:tcBorders>
              <w:top w:val="single" w:color="BFBFBF" w:sz="4"/>
              <w:left w:val="single" w:color="BFBFBF" w:sz="4"/>
              <w:bottom w:val="single" w:color="BFBFBF" w:sz="4"/>
              <w:right w:val="single" w:color="BFBFBF" w:sz="4"/>
            </w:tcBorders>
            <w:shd w:fill="EAF1DD" w:color="auto" w:val="clear"/>
            <w:tcMar>
              <w:top w:type="dxa" w:w="60"/>
              <w:left w:type="dxa" w:w="100"/>
              <w:bottom w:type="dxa" w:w="60"/>
              <w:right w:type="dxa" w:w="100"/>
            </w:tcMar>
          </w:tcPr>
          <w:p>
            <w:pPr>
              <w:jc w:val="left"/>
            </w:pPr>
            <w:r>
              <w:rPr>
                <w:b w:val="false"/>
                <w:bCs w:val="false"/>
                <w:sz w:val="19"/>
                <w:szCs w:val="19"/>
              </w:rPr>
              <w:t xml:space="preserve">Smallest</w:t>
            </w:r>
          </w:p>
        </w:tc>
      </w:tr>
      <w:tr>
        <w:trPr>
          <w:cantSplit/>
          <w:tblHeader w:val="false"/>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Upside if results are strong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Largest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Large</w:t>
            </w:r>
          </w:p>
        </w:tc>
        <w:tc>
          <w:tcPr>
            <w:tcW w:type="dxa" w:w="2200"/>
            <w:tcBorders>
              <w:top w:val="single" w:color="BFBFBF" w:sz="4"/>
              <w:left w:val="single" w:color="BFBFBF" w:sz="4"/>
              <w:bottom w:val="single" w:color="BFBFBF" w:sz="4"/>
              <w:right w:val="single" w:color="BFBFBF" w:sz="4"/>
            </w:tcBorders>
            <w:shd w:fill="EAF1DD" w:color="auto" w:val="clear"/>
            <w:tcMar>
              <w:top w:type="dxa" w:w="60"/>
              <w:left w:type="dxa" w:w="100"/>
              <w:bottom w:type="dxa" w:w="60"/>
              <w:right w:type="dxa" w:w="100"/>
            </w:tcMar>
          </w:tcPr>
          <w:p>
            <w:pPr>
              <w:jc w:val="left"/>
            </w:pPr>
            <w:r>
              <w:rPr>
                <w:b w:val="false"/>
                <w:bCs w:val="false"/>
                <w:sz w:val="19"/>
                <w:szCs w:val="19"/>
              </w:rPr>
              <w:t xml:space="preserve">Good, slightly lower</w:t>
            </w:r>
          </w:p>
        </w:tc>
      </w:tr>
      <w:tr>
        <w:trPr>
          <w:cantSplit/>
          <w:tblHeader w:val="false"/>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Most cash AAC is out of pocket at any point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Highest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Lowest</w:t>
            </w:r>
          </w:p>
        </w:tc>
        <w:tc>
          <w:tcPr>
            <w:tcW w:type="dxa" w:w="2200"/>
            <w:tcBorders>
              <w:top w:val="single" w:color="BFBFBF" w:sz="4"/>
              <w:left w:val="single" w:color="BFBFBF" w:sz="4"/>
              <w:bottom w:val="single" w:color="BFBFBF" w:sz="4"/>
              <w:right w:val="single" w:color="BFBFBF" w:sz="4"/>
            </w:tcBorders>
            <w:shd w:fill="EAF1DD" w:color="auto" w:val="clear"/>
            <w:tcMar>
              <w:top w:type="dxa" w:w="60"/>
              <w:left w:type="dxa" w:w="100"/>
              <w:bottom w:type="dxa" w:w="60"/>
              <w:right w:type="dxa" w:w="100"/>
            </w:tcMar>
          </w:tcPr>
          <w:p>
            <w:pPr>
              <w:jc w:val="left"/>
            </w:pPr>
            <w:r>
              <w:rPr>
                <w:b w:val="false"/>
                <w:bCs w:val="false"/>
                <w:sz w:val="19"/>
                <w:szCs w:val="19"/>
              </w:rPr>
              <w:t xml:space="preserve">Medium</w:t>
            </w:r>
          </w:p>
        </w:tc>
      </w:tr>
      <w:tr>
        <w:trPr>
          <w:cantSplit/>
          <w:tblHeader w:val="false"/>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Total paid over five years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Medium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Highest (includes hardware financing)</w:t>
            </w:r>
          </w:p>
        </w:tc>
        <w:tc>
          <w:tcPr>
            <w:tcW w:type="dxa" w:w="2200"/>
            <w:tcBorders>
              <w:top w:val="single" w:color="BFBFBF" w:sz="4"/>
              <w:left w:val="single" w:color="BFBFBF" w:sz="4"/>
              <w:bottom w:val="single" w:color="BFBFBF" w:sz="4"/>
              <w:right w:val="single" w:color="BFBFBF" w:sz="4"/>
            </w:tcBorders>
            <w:shd w:fill="EAF1DD" w:color="auto" w:val="clear"/>
            <w:tcMar>
              <w:top w:type="dxa" w:w="60"/>
              <w:left w:type="dxa" w:w="100"/>
              <w:bottom w:type="dxa" w:w="60"/>
              <w:right w:type="dxa" w:w="100"/>
            </w:tcMar>
          </w:tcPr>
          <w:p>
            <w:pPr>
              <w:jc w:val="left"/>
            </w:pPr>
            <w:r>
              <w:rPr>
                <w:b w:val="false"/>
                <w:bCs w:val="false"/>
                <w:sz w:val="19"/>
                <w:szCs w:val="19"/>
              </w:rPr>
              <w:t xml:space="preserve">Lowest</w:t>
            </w:r>
          </w:p>
        </w:tc>
      </w:tr>
      <w:tr>
        <w:trPr>
          <w:cantSplit/>
          <w:tblHeader w:val="false"/>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Hardware owned by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AAC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Smart Innovations GH</w:t>
            </w:r>
          </w:p>
        </w:tc>
        <w:tc>
          <w:tcPr>
            <w:tcW w:type="dxa" w:w="2200"/>
            <w:tcBorders>
              <w:top w:val="single" w:color="BFBFBF" w:sz="4"/>
              <w:left w:val="single" w:color="BFBFBF" w:sz="4"/>
              <w:bottom w:val="single" w:color="BFBFBF" w:sz="4"/>
              <w:right w:val="single" w:color="BFBFBF" w:sz="4"/>
            </w:tcBorders>
            <w:shd w:fill="EAF1DD" w:color="auto" w:val="clear"/>
            <w:tcMar>
              <w:top w:type="dxa" w:w="60"/>
              <w:left w:type="dxa" w:w="100"/>
              <w:bottom w:type="dxa" w:w="60"/>
              <w:right w:type="dxa" w:w="100"/>
            </w:tcMar>
          </w:tcPr>
          <w:p>
            <w:pPr>
              <w:jc w:val="left"/>
            </w:pPr>
            <w:r>
              <w:rPr>
                <w:b w:val="false"/>
                <w:bCs w:val="false"/>
                <w:sz w:val="19"/>
                <w:szCs w:val="19"/>
              </w:rPr>
              <w:t xml:space="preserve">AAC</w:t>
            </w:r>
          </w:p>
        </w:tc>
      </w:tr>
      <w:tr>
        <w:trPr>
          <w:cantSplit/>
          <w:tblHeader w:val="false"/>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Who carries performance risk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AAC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Shared</w:t>
            </w:r>
          </w:p>
        </w:tc>
        <w:tc>
          <w:tcPr>
            <w:tcW w:type="dxa" w:w="2200"/>
            <w:tcBorders>
              <w:top w:val="single" w:color="BFBFBF" w:sz="4"/>
              <w:left w:val="single" w:color="BFBFBF" w:sz="4"/>
              <w:bottom w:val="single" w:color="BFBFBF" w:sz="4"/>
              <w:right w:val="single" w:color="BFBFBF" w:sz="4"/>
            </w:tcBorders>
            <w:shd w:fill="EAF1DD" w:color="auto" w:val="clear"/>
            <w:tcMar>
              <w:top w:type="dxa" w:w="60"/>
              <w:left w:type="dxa" w:w="100"/>
              <w:bottom w:type="dxa" w:w="60"/>
              <w:right w:type="dxa" w:w="100"/>
            </w:tcMar>
          </w:tcPr>
          <w:p>
            <w:pPr>
              <w:jc w:val="left"/>
            </w:pPr>
            <w:r>
              <w:rPr>
                <w:b w:val="false"/>
                <w:bCs w:val="false"/>
                <w:sz w:val="19"/>
                <w:szCs w:val="19"/>
              </w:rPr>
              <w:t xml:space="preserve">Shared: our margin depends on results</w:t>
            </w:r>
          </w:p>
        </w:tc>
      </w:tr>
    </w:tbl>
    <w:p>
      <w:pPr>
        <w:spacing w:after="60"/>
      </w:pPr>
    </w:p>
    <w:p>
      <w:pPr>
        <w:pStyle w:val="ListParagraph"/>
        <w:numPr>
          <w:ilvl w:val="0"/>
          <w:numId w:val="3"/>
        </w:numPr>
        <w:spacing w:after="60" w:line="264"/>
      </w:pPr>
      <w:r>
        <w:rPr>
          <w:b/>
          <w:bCs/>
        </w:rPr>
        <w:t xml:space="preserve">Option A </w:t>
      </w:r>
      <w:r>
        <w:t xml:space="preserve">puts all performance risk on AAC. It suits a client that has already verified its sites.</w:t>
      </w:r>
    </w:p>
    <w:p>
      <w:pPr>
        <w:pStyle w:val="ListParagraph"/>
        <w:numPr>
          <w:ilvl w:val="0"/>
          <w:numId w:val="3"/>
        </w:numPr>
        <w:spacing w:after="60" w:line="264"/>
      </w:pPr>
      <w:r>
        <w:rPr>
          <w:b/>
          <w:bCs/>
        </w:rPr>
        <w:t xml:space="preserve">Option B </w:t>
      </w:r>
      <w:r>
        <w:t xml:space="preserve">needs the least cash early but costs AAC the most over five years, because the fees include financing our hardware.</w:t>
      </w:r>
    </w:p>
    <w:p>
      <w:pPr>
        <w:pStyle w:val="ListParagraph"/>
        <w:numPr>
          <w:ilvl w:val="0"/>
          <w:numId w:val="3"/>
        </w:numPr>
        <w:spacing w:after="60" w:line="264"/>
      </w:pPr>
      <w:r>
        <w:rPr>
          <w:b/>
          <w:bCs/>
        </w:rPr>
        <w:t xml:space="preserve">Option C </w:t>
      </w:r>
      <w:r>
        <w:t xml:space="preserve">ties our earnings to AAC's verified results, which is the partnership AAC asked for.</w:t>
      </w:r>
    </w:p>
    <w:p>
      <w:pPr>
        <w:pStyle w:val="Heading1"/>
        <w:spacing w:after="120" w:before="280"/>
      </w:pPr>
      <w:r>
        <w:t xml:space="preserve">8. What must be true for AAC to gain</w:t>
      </w:r>
    </w:p>
    <w:p>
      <w:pPr>
        <w:spacing w:after="120" w:line="276"/>
      </w:pPr>
      <w:r>
        <w:t xml:space="preserve">Our modelling uses illustrative site data until Stage 1 replaces it. On that data, the base case roughly breaks even for AAC, so the decision to scale should rest on these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1400"/>
        <w:gridCol w:w="1400"/>
        <w:gridCol w:w="1400"/>
      </w:tblGrid>
      <w:tr>
        <w:trPr>
          <w:cantSplit/>
          <w:tblHeader/>
        </w:trPr>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Test (base case)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Break-even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Assumed</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Measured in</w:t>
            </w:r>
          </w:p>
        </w:tc>
      </w:tr>
      <w:tr>
        <w:trPr>
          <w:cantSplit/>
          <w:tblHeader w:val="false"/>
        </w:trPr>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Extra feed secured by stopping leakage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2.8% of feed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3.0%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Stage 2</w:t>
            </w:r>
          </w:p>
        </w:tc>
      </w:tr>
      <w:tr>
        <w:trPr>
          <w:cantSplit/>
          <w:tblHeader w:val="false"/>
        </w:trPr>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Tailings grade against the Stage 1 estimate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0.95x</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1.00x</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Stage 1</w:t>
            </w:r>
          </w:p>
        </w:tc>
      </w:tr>
      <w:tr>
        <w:trPr>
          <w:cantSplit/>
          <w:tblHeader w:val="false"/>
        </w:trPr>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Share of sites that justify full monitoring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Set by Stage 1 ranking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17 of 20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Stage 1</w:t>
            </w:r>
          </w:p>
        </w:tc>
      </w:tr>
    </w:tbl>
    <w:p>
      <w:pPr>
        <w:spacing w:after="60"/>
      </w:pPr>
    </w:p>
    <w:p>
      <w:pPr>
        <w:spacing w:after="120" w:line="276"/>
      </w:pPr>
      <w:r>
        <w:t xml:space="preserve">If Stage 1 and the pilot show these tests are met, the partnership scales. If not, Gate 2 stops the programme and AAC keeps the pilot hardware and the verified baseline.</w:t>
      </w:r>
    </w:p>
    <w:p>
      <w:pPr>
        <w:pStyle w:val="Heading1"/>
        <w:spacing w:after="120" w:before="280"/>
      </w:pPr>
      <w:r>
        <w:t xml:space="preserve">9. The solution in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Module</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What it does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Excavator Watch</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Tamper-proof tracker on each lent excavator; licence boundaries as geofences; alerts for out-of-zone or out-of-hours use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Fuel Intelligence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RFID-controlled dispensing, in-tank sensors and engine burn data; flags siphoning and over-claims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Tailings Twin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Drone surveys calibrated to a geologist baseline give tonnes and estimated gold per site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Haul Trace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GPS on every truck, sealed e-waybill at the pit, plate recognition and weighbridge check at the plant</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Command centre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Daily mass balance, site scorecards, Amharic/English mobile app that works offline. AAC owns all data</w:t>
            </w:r>
          </w:p>
        </w:tc>
      </w:tr>
    </w:tbl>
    <w:p>
      <w:pPr>
        <w:spacing w:after="60"/>
      </w:pPr>
    </w:p>
    <w:p>
      <w:pPr>
        <w:pStyle w:val="Heading1"/>
        <w:spacing w:after="120" w:before="280"/>
      </w:pPr>
      <w:r>
        <w:t xml:space="preserve">10. Governance and what AAC provides</w:t>
      </w:r>
    </w:p>
    <w:p>
      <w:pPr>
        <w:pStyle w:val="ListParagraph"/>
        <w:numPr>
          <w:ilvl w:val="0"/>
          <w:numId w:val="3"/>
        </w:numPr>
        <w:spacing w:after="60" w:line="264"/>
      </w:pPr>
      <w:r>
        <w:t xml:space="preserve">A joint steering committee meets monthly, and at each gate.</w:t>
      </w:r>
    </w:p>
    <w:p>
      <w:pPr>
        <w:pStyle w:val="ListParagraph"/>
        <w:numPr>
          <w:ilvl w:val="0"/>
          <w:numId w:val="3"/>
        </w:numPr>
        <w:spacing w:after="60" w:line="264"/>
      </w:pPr>
      <w:r>
        <w:t xml:space="preserve">Open-book costs with an annual true-up, and an independent annual audit of verified gains.</w:t>
      </w:r>
    </w:p>
    <w:p>
      <w:pPr>
        <w:pStyle w:val="ListParagraph"/>
        <w:numPr>
          <w:ilvl w:val="0"/>
          <w:numId w:val="3"/>
        </w:numPr>
        <w:spacing w:after="60" w:line="264"/>
      </w:pPr>
      <w:r>
        <w:rPr>
          <w:b/>
          <w:bCs/>
        </w:rPr>
        <w:t xml:space="preserve">AAC data access is essential. </w:t>
      </w:r>
      <w:r>
        <w:t xml:space="preserve">The partnership depends on AAC sharing fuel invoices, weighbridge records, lending and haulage agreements, and 3 to 6 months of history in Stage 1. Without them, gains cannot be verified.</w:t>
      </w:r>
    </w:p>
    <w:p>
      <w:pPr>
        <w:pStyle w:val="ListParagraph"/>
        <w:numPr>
          <w:ilvl w:val="0"/>
          <w:numId w:val="3"/>
        </w:numPr>
        <w:spacing w:after="60" w:line="264"/>
      </w:pPr>
      <w:r>
        <w:t xml:space="preserve">AAC provides a sponsor, a plant project owner, site access and introductions to site holders and hauliers. AAC also adds monitoring clauses to its lending and haulage agreements; we provide the draft wording.</w:t>
      </w:r>
    </w:p>
    <w:p>
      <w:pPr>
        <w:pStyle w:val="Heading1"/>
        <w:spacing w:after="120" w:before="280"/>
      </w:pPr>
      <w:r>
        <w:t xml:space="preserve">11. Key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Risk</w:t>
            </w:r>
          </w:p>
        </w:tc>
        <w:tc>
          <w:tcPr>
            <w:tcW w:type="dxa" w:w="5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19"/>
                <w:szCs w:val="19"/>
              </w:rPr>
              <w:t xml:space="preserve">How we manage it</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Sites hold less tailings or lower grade than hoped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Stage 1 measures it; low-value sites go to Watch; Gate 2 lets AAC stop</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Drone or import permits delayed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Stage 1 uses a licensed Ethiopian drone firm; permits filed in week 1</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Security limits access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Security plan agreed with AAC; local escorts; devices record offline</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Disputes over verified gains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Baseline signed in Stage 2; monthly reporting; independent annual audit; fee cap</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Rainy season, June to September</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Stage 1, the pilot and most installs happen in the dry season</w:t>
            </w:r>
          </w:p>
        </w:tc>
      </w:tr>
    </w:tbl>
    <w:p>
      <w:pPr>
        <w:spacing w:after="60"/>
      </w:pPr>
    </w:p>
    <w:p>
      <w:pPr>
        <w:pStyle w:val="Heading1"/>
        <w:spacing w:after="120" w:before="280"/>
      </w:pPr>
      <w:r>
        <w:t xml:space="preserve">12. Assumptions</w:t>
      </w:r>
    </w:p>
    <w:p>
      <w:pPr>
        <w:pStyle w:val="ListParagraph"/>
        <w:numPr>
          <w:ilvl w:val="0"/>
          <w:numId w:val="3"/>
        </w:numPr>
        <w:spacing w:after="60" w:line="264"/>
      </w:pPr>
      <w:r>
        <w:t xml:space="preserve">All site data used in our modelling is illustrative until Stage 1 replaces it with measured values.</w:t>
      </w:r>
    </w:p>
    <w:p>
      <w:pPr>
        <w:pStyle w:val="ListParagraph"/>
        <w:numPr>
          <w:ilvl w:val="0"/>
          <w:numId w:val="3"/>
        </w:numPr>
        <w:spacing w:after="60" w:line="264"/>
      </w:pPr>
      <w:r>
        <w:t xml:space="preserve">Hardware is supplied at cost once supplier and clearing-agent quotes are accepted.</w:t>
      </w:r>
    </w:p>
    <w:p>
      <w:pPr>
        <w:pStyle w:val="ListParagraph"/>
        <w:numPr>
          <w:ilvl w:val="0"/>
          <w:numId w:val="3"/>
        </w:numPr>
        <w:spacing w:after="60" w:line="264"/>
      </w:pPr>
      <w:r>
        <w:t xml:space="preserve">Any change to agreed fees of more than 10% is agreed with AAC first.</w:t>
      </w:r>
    </w:p>
    <w:p>
      <w:pPr>
        <w:pStyle w:val="ListParagraph"/>
        <w:numPr>
          <w:ilvl w:val="0"/>
          <w:numId w:val="3"/>
        </w:numPr>
        <w:spacing w:after="60" w:line="264"/>
      </w:pPr>
      <w:r>
        <w:t xml:space="preserve">Ethiopian taxes and levies, civil works, weighbridge purchase or repair, plant power or network upgrades, and armed security are outside our scope.</w:t>
      </w:r>
    </w:p>
    <w:p>
      <w:pPr>
        <w:pStyle w:val="Heading1"/>
        <w:spacing w:after="120" w:before="280"/>
      </w:pPr>
      <w:r>
        <w:t xml:space="preserve">13. Next steps</w:t>
      </w:r>
    </w:p>
    <w:p>
      <w:pPr>
        <w:pStyle w:val="ListParagraph"/>
        <w:numPr>
          <w:ilvl w:val="0"/>
          <w:numId w:val="4"/>
        </w:numPr>
        <w:spacing w:after="60" w:line="264"/>
      </w:pPr>
      <w:r>
        <w:t xml:space="preserve">AAC confirms the partnership approach and the Stage 1 scope.</w:t>
      </w:r>
    </w:p>
    <w:p>
      <w:pPr>
        <w:pStyle w:val="ListParagraph"/>
        <w:numPr>
          <w:ilvl w:val="0"/>
          <w:numId w:val="4"/>
        </w:numPr>
        <w:spacing w:after="60" w:line="264"/>
      </w:pPr>
      <w:r>
        <w:t xml:space="preserve">AAC names a sponsor and confirms access to its fuel, weighbridge and haulage records.</w:t>
      </w:r>
    </w:p>
    <w:p>
      <w:pPr>
        <w:pStyle w:val="ListParagraph"/>
        <w:numPr>
          <w:ilvl w:val="0"/>
          <w:numId w:val="4"/>
        </w:numPr>
        <w:spacing w:after="60" w:line="264"/>
      </w:pPr>
      <w:r>
        <w:t xml:space="preserve">We provide the pricing schedule for all three stages.</w:t>
      </w:r>
    </w:p>
    <w:p>
      <w:pPr>
        <w:pStyle w:val="ListParagraph"/>
        <w:numPr>
          <w:ilvl w:val="0"/>
          <w:numId w:val="4"/>
        </w:numPr>
        <w:spacing w:after="60" w:line="264"/>
      </w:pPr>
      <w:r>
        <w:t xml:space="preserve">Both parties sign the Stage 1 contract by 30 October 2026, so Stage 2 can run in the dry season.</w:t>
      </w:r>
    </w:p>
    <w:p>
      <w:pPr>
        <w:pStyle w:val="ListParagraph"/>
        <w:numPr>
          <w:ilvl w:val="0"/>
          <w:numId w:val="4"/>
        </w:numPr>
        <w:spacing w:after="60" w:line="264"/>
      </w:pPr>
      <w:r>
        <w:t xml:space="preserve">Stage 1 kickoff in Assosa in early November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Smart Innovations GH | Proposal to AAC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Evidence-first partnership proposal for AAC</dc:title>
  <dc:creator>Smart Innovations GH</dc:creator>
  <cp:lastModifiedBy>Un-named</cp:lastModifiedBy>
  <cp:revision>1</cp:revision>
  <dcterms:created xsi:type="dcterms:W3CDTF">2026-09-28T00:12:56.872Z</dcterms:created>
  <dcterms:modified xsi:type="dcterms:W3CDTF">2026-09-28T00:12:56.872Z</dcterms:modified>
</cp:coreProperties>
</file>

<file path=docProps/custom.xml><?xml version="1.0" encoding="utf-8"?>
<Properties xmlns="http://schemas.openxmlformats.org/officeDocument/2006/custom-properties" xmlns:vt="http://schemas.openxmlformats.org/officeDocument/2006/docPropsVTypes"/>
</file>