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1A1A" w:val="clear"/>
          </w:tcPr>
          <w:p>
            <w:pPr>
              <w:spacing w:before="3588"/>
            </w:pPr>
          </w:p>
          <w:p>
            <w:pPr>
              <w:pBdr>
                <w:bottom w:val="single" w:color="C9A84C" w:sz="6" w:space="8"/>
              </w:pBdr>
              <w:spacing w:after="500"/>
              <w:ind w:left="1200" w:right="800"/>
            </w:pPr>
            <w:r>
              <w:rPr>
                <w:rFonts w:ascii="Calibri"/>
                <w:color w:val="C9A84C"/>
                <w:spacing w:val="40"/>
                <w:sz w:val="18"/>
                <w:szCs w:val="18"/>
              </w:rPr>
              <w:t xml:space="preserve">M  I  N  I  N  G     S  E  C  T  O  R     A  D  V  I  S  O  R  Y</w:t>
            </w:r>
          </w:p>
          <w:p>
            <w:pPr>
              <w:spacing w:after="100" w:line="920" w:lineRule="atLeast"/>
              <w:ind w:left="1200"/>
            </w:pPr>
            <w:r>
              <w:rPr>
                <w:rFonts w:ascii="Arial"/>
                <w:b/>
                <w:bCs/>
                <w:sz w:val="80"/>
                <w:szCs w:val="80"/>
              </w:rPr>
              <w:t xml:space="preserve">Strategic Gaps,</w:t>
            </w:r>
          </w:p>
          <w:p>
            <w:pPr>
              <w:spacing w:after="100" w:line="920" w:lineRule="atLeast"/>
              <w:ind w:left="1200"/>
            </w:pPr>
            <w:r>
              <w:rPr>
                <w:rFonts w:ascii="Arial"/>
                <w:b/>
                <w:bCs/>
                <w:sz w:val="80"/>
                <w:szCs w:val="80"/>
              </w:rPr>
              <w:t xml:space="preserve">Risks &amp; Digital</w:t>
            </w:r>
          </w:p>
          <w:p>
            <w:pPr>
              <w:spacing w:after="300" w:line="920" w:lineRule="atLeast"/>
              <w:ind w:left="1200"/>
            </w:pPr>
            <w:r>
              <w:rPr>
                <w:rFonts w:ascii="Arial"/>
                <w:b/>
                <w:bCs/>
                <w:sz w:val="80"/>
                <w:szCs w:val="80"/>
              </w:rPr>
              <w:t xml:space="preserve">Solutions</w:t>
            </w:r>
          </w:p>
          <w:p>
            <w:pPr>
              <w:spacing w:after="800"/>
              <w:ind w:left="1200"/>
            </w:pPr>
            <w:r>
              <w:rPr>
                <w:rFonts w:ascii="Arial"/>
                <w:i/>
                <w:iCs/>
                <w:sz w:val="24"/>
                <w:szCs w:val="24"/>
              </w:rPr>
              <w:t xml:space="preserve">Côte d'Ivoire Mining Sector — Volume II: Gap Analysis, Risk Assessment, AI / Digital Systems Recommendations</w:t>
            </w:r>
          </w:p>
          <w:p>
            <w:pPr>
              <w:pBdr>
                <w:left w:val="single" w:color="C9A84C" w:sz="8" w:space="12"/>
              </w:pBdr>
              <w:spacing w:after="80"/>
              <w:ind w:left="1400"/>
            </w:pPr>
            <w:r>
              <w:rPr>
                <w:rFonts w:ascii="Arial"/>
                <w:sz w:val="24"/>
                <w:szCs w:val="24"/>
              </w:rPr>
              <w:t xml:space="preserve">Companion to Volume I: Mining &amp; Minerals of Côte d'Ivoire</w:t>
            </w:r>
          </w:p>
          <w:p>
            <w:pPr>
              <w:pBdr>
                <w:left w:val="single" w:color="C9A84C" w:sz="8" w:space="12"/>
              </w:pBdr>
              <w:spacing w:after="80"/>
              <w:ind w:left="1400"/>
            </w:pPr>
            <w:r>
              <w:rPr>
                <w:rFonts w:ascii="Arial"/>
                <w:sz w:val="24"/>
                <w:szCs w:val="24"/>
              </w:rPr>
              <w:t xml:space="preserve">Prepared for: Policy &amp; Legal Specialists and Government Counterparts</w:t>
            </w:r>
          </w:p>
          <w:p>
            <w:pPr>
              <w:pBdr>
                <w:left w:val="single" w:color="C9A84C" w:sz="8" w:space="12"/>
              </w:pBdr>
              <w:spacing w:after="80"/>
              <w:ind w:left="1400"/>
            </w:pPr>
            <w:r>
              <w:rPr>
                <w:rFonts w:ascii="Arial"/>
                <w:sz w:val="24"/>
                <w:szCs w:val="24"/>
              </w:rPr>
              <w:t xml:space="preserve">Coverage: Regulatory gaps, infrastructure, risk, ESG, AI / digital systems</w:t>
            </w:r>
          </w:p>
          <w:p>
            <w:pPr>
              <w:pBdr>
                <w:left w:val="single" w:color="C9A84C" w:sz="8" w:space="12"/>
              </w:pBdr>
              <w:spacing w:after="80"/>
              <w:ind w:left="1400"/>
            </w:pPr>
            <w:r>
              <w:rPr>
                <w:rFonts w:ascii="Arial"/>
                <w:sz w:val="24"/>
                <w:szCs w:val="24"/>
              </w:rPr>
              <w:t xml:space="preserve">Date: October 2026</w:t>
            </w:r>
          </w:p>
          <w:p>
            <w:pPr>
              <w:spacing w:before="3588"/>
            </w:pPr>
          </w:p>
          <w:p>
            <w:pPr>
              <w:pBdr>
                <w:top w:val="single" w:color="C9A84C" w:sz="2" w:space="8"/>
              </w:pBdr>
              <w:spacing w:before="200"/>
              <w:ind w:left="1200" w:right="800"/>
            </w:pPr>
            <w:r>
              <w:rPr>
                <w:rFonts w:ascii="Arial"/>
                <w:sz w:val="16"/>
                <w:szCs w:val="16"/>
              </w:rPr>
              <w:t xml:space="preserve">Volume II — Strategic Advisory</w:t>
            </w:r>
            <w:r>
              <w:t xml:space="preserve">                                        </w:t>
            </w:r>
            <w:r>
              <w:rPr>
                <w:rFonts w:ascii="Arial"/>
                <w:sz w:val="16"/>
                <w:szCs w:val="16"/>
              </w:rPr>
              <w:t xml:space="preserve">October 2026</w:t>
            </w:r>
          </w:p>
        </w:tc>
      </w:tr>
    </w:tbl>
    <w:p>
      <w:pPr>
        <w:sectPr>
          <w:pgSz w:w="11906" w:h="16838" w:orient="portrait"/>
          <w:pgMar w:top="0" w:right="0" w:bottom="0" w:left="0" w:header="708" w:footer="708" w:gutter="0"/>
          <w:docGrid w:linePitch="360"/>
        </w:sectPr>
      </w:pPr>
    </w:p>
    <w:p>
      <w:pPr>
        <w:spacing w:after="360" w:before="240"/>
        <w:jc w:val="center"/>
      </w:pPr>
      <w:r>
        <w:rPr>
          <w:rFonts w:ascii="Calibri"/>
          <w:b/>
          <w:bCs/>
          <w:color w:val="0B2545"/>
          <w:sz w:val="36"/>
          <w:szCs w:val="36"/>
        </w:rPr>
        <w:t xml:space="preserve">Executive Summary</w:t>
      </w:r>
    </w:p>
    <w:p>
      <w:pPr>
        <w:spacing w:after="160" w:line="312"/>
        <w:ind w:firstLine="0"/>
        <w:jc w:val="both"/>
      </w:pPr>
      <w:r>
        <w:rPr>
          <w:rFonts w:ascii="Times New Roman"/>
          <w:color w:val="000000"/>
          <w:sz w:val="22"/>
          <w:szCs w:val="22"/>
        </w:rPr>
        <w:t xml:space="preserve">This advisory note — Volume II to the Mining &amp; Minerals of Côte d'Ivoire reference document — sets out the principal gaps, risks and digital opportunities facing the Ivorian mining sector as it enters the second half of its 2021–2025 National Development Plan horizon and looks toward the 2025–2030 plan. The sector has grown approximately fourfold in gold output over the past decade and is positioned to grow a further 50–70% by 2028 with the commissioning of the Koné, Lafigué, Abujar and Séguéla projects. That growth is, however, occurring against structural gaps in regulatory enforcement, infrastructure capacity and environmental and social governance that — if left unaddressed — will constrain the sector's potential and expose the State to fiscal, environmental and reputational risk.</w:t>
      </w:r>
    </w:p>
    <w:p>
      <w:pPr>
        <w:spacing w:after="160" w:line="312"/>
        <w:ind w:firstLine="0"/>
        <w:jc w:val="both"/>
      </w:pPr>
      <w:r>
        <w:rPr>
          <w:rFonts w:ascii="Times New Roman"/>
          <w:color w:val="000000"/>
          <w:sz w:val="22"/>
          <w:szCs w:val="22"/>
        </w:rPr>
        <w:t xml:space="preserve">The regulatory gaps are concrete and addressable. The licensing backlog at the Directorate of Mines and Geology (DGMG) is approximately 1,650 pending applications, with processing times of 6–18 months that deter exploration investment. The Local Content Monitoring Committee lacks the audit capacity to enforce the 20% procurement set-aside taking effect from 1 July 2026. The beneficial ownership registry is operational but not yet populated for all permit holders. The mine closure bond methodology is not aligned with international good practice and will need revision ahead of the 2030s closure wave. Each of these gaps has a digital solution — and each digital solution has been proven in comparable African jurisdictions.</w:t>
      </w:r>
    </w:p>
    <w:p>
      <w:pPr>
        <w:spacing w:after="160" w:line="312"/>
        <w:ind w:firstLine="0"/>
        <w:jc w:val="both"/>
      </w:pPr>
      <w:r>
        <w:rPr>
          <w:rFonts w:ascii="Times New Roman"/>
          <w:color w:val="000000"/>
          <w:sz w:val="22"/>
          <w:szCs w:val="22"/>
        </w:rPr>
        <w:t xml:space="preserve">The infrastructure gaps are equally pressing. Côte d'Ivoire lacks the rail infrastructure required to unlock the Bondoukou manganese district and the Mount Nimba iron-ore deposits; the Abidjan and San Pedro port mineral-terminal capacity is approaching saturation; the power grid in the western mining regions requires reinforcement; and the digital infrastructure — fibre, mobile, data-centre — supporting the proposed digital systems is incomplete relative to comparator jurisdictions. The government's 2024 announcement of the Abidjan–Ouagadougou rail extension and the San Pedro alumina refinery are positive steps, but require sustained implementation through 2032.</w:t>
      </w:r>
    </w:p>
    <w:p>
      <w:pPr>
        <w:spacing w:after="160" w:line="312"/>
        <w:ind w:firstLine="0"/>
        <w:jc w:val="both"/>
      </w:pPr>
      <w:r>
        <w:rPr>
          <w:rFonts w:ascii="Times New Roman"/>
          <w:color w:val="000000"/>
          <w:sz w:val="22"/>
          <w:szCs w:val="22"/>
        </w:rPr>
        <w:t xml:space="preserve">Seven digital solution domains are recommended in Chapter 6, each with two technology options supported by implementation pathways and quantified benefits. The recommended priority sequence — over a five-year, USD 80–120 million envelope — is: (i) a national Mining Cadastre System (Option A: Trimble FlexiCadastre) to address the licensing backlog; (ii) a national Digital Geological Database to support exploration investment; (iii) IoT-based production and royalty monitoring to close the revenue leakage gap; (iv) satellite and IoT-based environmental monitoring to strengthen CIAPOL; (v) ASM formalisation via mobile traceability; (vi) mobile-first community grievance platforms; and (vii) AI-assisted mine closure and safety oversight. The cumulative benefit over the 2026–2032 horizon is estimated at USD 350–550 million in additional government revenue, USD 1.5–2.0 billion in additional FDI attraction, and material ESG and community trust benefits.</w:t>
      </w:r>
    </w:p>
    <w:p>
      <w:pPr>
        <w:spacing w:after="360" w:before="600"/>
        <w:jc w:val="center"/>
      </w:pPr>
      <w:r>
        <w:rPr>
          <w:rFonts w:ascii="Calibri"/>
          <w:b/>
          <w:bCs/>
          <w:color w:val="0B2545"/>
          <w:sz w:val="36"/>
          <w:szCs w:val="36"/>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Introduction and Methodology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Introduction and Methodology</w:t>
          </w:r>
          <w:r>
            <w:tab/>
          </w:r>
          <w:r>
            <w:t>2</w:t>
          </w:r>
        </w:p>
        <w:p>
          <w:pPr>
            <w:pStyle w:val="11"/>
            <w:ind w:left="360"/>
            <w:tabs>
              <w:tab w:val="right" w:leader="dot" w:pos="9026"/>
            </w:tabs>
            <w:spacing w:before="120" w:after="60"/>
          </w:pPr>
          <w:r>
            <w:t>1.1 Purpose and Scope</w:t>
          </w:r>
          <w:r>
            <w:tab/>
          </w:r>
          <w:r>
            <w:t>2</w:t>
          </w:r>
        </w:p>
        <w:p>
          <w:pPr>
            <w:pStyle w:val="11"/>
            <w:ind w:left="360"/>
            <w:tabs>
              <w:tab w:val="right" w:leader="dot" w:pos="9026"/>
            </w:tabs>
            <w:spacing w:before="120" w:after="60"/>
          </w:pPr>
          <w:r>
            <w:t>1.2 Methodology and Sources</w:t>
          </w:r>
          <w:r>
            <w:tab/>
          </w:r>
          <w:r>
            <w:t>2</w:t>
          </w:r>
        </w:p>
        <w:p>
          <w:pPr>
            <w:pStyle w:val="9"/>
            <w:tabs>
              <w:tab w:val="right" w:leader="dot" w:pos="9026"/>
            </w:tabs>
            <w:spacing w:before="120" w:after="60"/>
          </w:pPr>
          <w:r>
            <w:t>2. Regulatory Gaps Analysis</w:t>
          </w:r>
          <w:r>
            <w:tab/>
          </w:r>
          <w:r>
            <w:t>2</w:t>
          </w:r>
        </w:p>
        <w:p>
          <w:pPr>
            <w:pStyle w:val="11"/>
            <w:ind w:left="360"/>
            <w:tabs>
              <w:tab w:val="right" w:leader="dot" w:pos="9026"/>
            </w:tabs>
            <w:spacing w:before="120" w:after="60"/>
          </w:pPr>
          <w:r>
            <w:t>2.1 Permit Processing Delays and Licensing Backlog</w:t>
          </w:r>
          <w:r>
            <w:tab/>
          </w:r>
          <w:r>
            <w:t>3</w:t>
          </w:r>
        </w:p>
        <w:p>
          <w:pPr>
            <w:pStyle w:val="11"/>
            <w:ind w:left="360"/>
            <w:tabs>
              <w:tab w:val="right" w:leader="dot" w:pos="9026"/>
            </w:tabs>
            <w:spacing w:before="120" w:after="60"/>
          </w:pPr>
          <w:r>
            <w:t>2.2 Stabilisation Clause Durability</w:t>
          </w:r>
          <w:r>
            <w:tab/>
          </w:r>
          <w:r>
            <w:t>3</w:t>
          </w:r>
        </w:p>
        <w:p>
          <w:pPr>
            <w:pStyle w:val="11"/>
            <w:ind w:left="360"/>
            <w:tabs>
              <w:tab w:val="right" w:leader="dot" w:pos="9026"/>
            </w:tabs>
            <w:spacing w:before="120" w:after="60"/>
          </w:pPr>
          <w:r>
            <w:t>2.3 Local Content Enforcement</w:t>
          </w:r>
          <w:r>
            <w:tab/>
          </w:r>
          <w:r>
            <w:t>3</w:t>
          </w:r>
        </w:p>
        <w:p>
          <w:pPr>
            <w:pStyle w:val="11"/>
            <w:ind w:left="360"/>
            <w:tabs>
              <w:tab w:val="right" w:leader="dot" w:pos="9026"/>
            </w:tabs>
            <w:spacing w:before="120" w:after="60"/>
          </w:pPr>
          <w:r>
            <w:t>2.4 Beneficial Ownership Transparency</w:t>
          </w:r>
          <w:r>
            <w:tab/>
          </w:r>
          <w:r>
            <w:t>4</w:t>
          </w:r>
        </w:p>
        <w:p>
          <w:pPr>
            <w:pStyle w:val="11"/>
            <w:ind w:left="360"/>
            <w:tabs>
              <w:tab w:val="right" w:leader="dot" w:pos="9026"/>
            </w:tabs>
            <w:spacing w:before="120" w:after="60"/>
          </w:pPr>
          <w:r>
            <w:t>2.5 Strategic Minerals Fiscal Regime</w:t>
          </w:r>
          <w:r>
            <w:tab/>
          </w:r>
          <w:r>
            <w:t>4</w:t>
          </w:r>
        </w:p>
        <w:p>
          <w:pPr>
            <w:pStyle w:val="11"/>
            <w:ind w:left="360"/>
            <w:tabs>
              <w:tab w:val="right" w:leader="dot" w:pos="9026"/>
            </w:tabs>
            <w:spacing w:before="120" w:after="60"/>
          </w:pPr>
          <w:r>
            <w:t>2.6 Mine Closure Bond Methodology</w:t>
          </w:r>
          <w:r>
            <w:tab/>
          </w:r>
          <w:r>
            <w:t>5</w:t>
          </w:r>
        </w:p>
        <w:p>
          <w:pPr>
            <w:pStyle w:val="11"/>
            <w:ind w:left="360"/>
            <w:tabs>
              <w:tab w:val="right" w:leader="dot" w:pos="9026"/>
            </w:tabs>
            <w:spacing w:before="120" w:after="60"/>
          </w:pPr>
          <w:r>
            <w:t>2.7 ASM Formalisation and Cross-Border Smuggling</w:t>
          </w:r>
          <w:r>
            <w:tab/>
          </w:r>
          <w:r>
            <w:t>5</w:t>
          </w:r>
        </w:p>
        <w:p>
          <w:pPr>
            <w:pStyle w:val="11"/>
            <w:ind w:left="360"/>
            <w:tabs>
              <w:tab w:val="right" w:leader="dot" w:pos="9026"/>
            </w:tabs>
            <w:spacing w:before="120" w:after="60"/>
          </w:pPr>
          <w:r>
            <w:t>2.8 Environmental Compliance and CIAPOL Capacity</w:t>
          </w:r>
          <w:r>
            <w:tab/>
          </w:r>
          <w:r>
            <w:t>5</w:t>
          </w:r>
        </w:p>
        <w:p>
          <w:pPr>
            <w:pStyle w:val="11"/>
            <w:ind w:left="360"/>
            <w:tabs>
              <w:tab w:val="right" w:leader="dot" w:pos="9026"/>
            </w:tabs>
            <w:spacing w:before="120" w:after="60"/>
          </w:pPr>
          <w:r>
            <w:t>2.9 Comparative Regulatory Gap Snapshot</w:t>
          </w:r>
          <w:r>
            <w:tab/>
          </w:r>
          <w:r>
            <w:t>6</w:t>
          </w:r>
        </w:p>
        <w:p>
          <w:pPr>
            <w:pStyle w:val="9"/>
            <w:tabs>
              <w:tab w:val="right" w:leader="dot" w:pos="9026"/>
            </w:tabs>
            <w:spacing w:before="120" w:after="60"/>
          </w:pPr>
          <w:r>
            <w:t>3. Infrastructure Gap Analysis</w:t>
          </w:r>
          <w:r>
            <w:tab/>
          </w:r>
          <w:r>
            <w:t>6</w:t>
          </w:r>
        </w:p>
        <w:p>
          <w:pPr>
            <w:pStyle w:val="11"/>
            <w:ind w:left="360"/>
            <w:tabs>
              <w:tab w:val="right" w:leader="dot" w:pos="9026"/>
            </w:tabs>
            <w:spacing w:before="120" w:after="60"/>
          </w:pPr>
          <w:r>
            <w:t>3.1 Rail Network Constraints</w:t>
          </w:r>
          <w:r>
            <w:tab/>
          </w:r>
          <w:r>
            <w:t>6</w:t>
          </w:r>
        </w:p>
        <w:p>
          <w:pPr>
            <w:pStyle w:val="11"/>
            <w:ind w:left="360"/>
            <w:tabs>
              <w:tab w:val="right" w:leader="dot" w:pos="9026"/>
            </w:tabs>
            <w:spacing w:before="120" w:after="60"/>
          </w:pPr>
          <w:r>
            <w:t>3.2 Port Capacity and Mineral-Terminal Infrastructure</w:t>
          </w:r>
          <w:r>
            <w:tab/>
          </w:r>
          <w:r>
            <w:t>7</w:t>
          </w:r>
        </w:p>
        <w:p>
          <w:pPr>
            <w:pStyle w:val="11"/>
            <w:ind w:left="360"/>
            <w:tabs>
              <w:tab w:val="right" w:leader="dot" w:pos="9026"/>
            </w:tabs>
            <w:spacing w:before="120" w:after="60"/>
          </w:pPr>
          <w:r>
            <w:t>3.3 Power Grid Reliability and Renewables</w:t>
          </w:r>
          <w:r>
            <w:tab/>
          </w:r>
          <w:r>
            <w:t>7</w:t>
          </w:r>
        </w:p>
        <w:p>
          <w:pPr>
            <w:pStyle w:val="11"/>
            <w:ind w:left="360"/>
            <w:tabs>
              <w:tab w:val="right" w:leader="dot" w:pos="9026"/>
            </w:tabs>
            <w:spacing w:before="120" w:after="60"/>
          </w:pPr>
          <w:r>
            <w:t>3.4 Water Resource Management</w:t>
          </w:r>
          <w:r>
            <w:tab/>
          </w:r>
          <w:r>
            <w:t>8</w:t>
          </w:r>
        </w:p>
        <w:p>
          <w:pPr>
            <w:pStyle w:val="11"/>
            <w:ind w:left="360"/>
            <w:tabs>
              <w:tab w:val="right" w:leader="dot" w:pos="9026"/>
            </w:tabs>
            <w:spacing w:before="120" w:after="60"/>
          </w:pPr>
          <w:r>
            <w:t>3.5 Road Network and Secondary Roads</w:t>
          </w:r>
          <w:r>
            <w:tab/>
          </w:r>
          <w:r>
            <w:t>8</w:t>
          </w:r>
        </w:p>
        <w:p>
          <w:pPr>
            <w:pStyle w:val="11"/>
            <w:ind w:left="360"/>
            <w:tabs>
              <w:tab w:val="right" w:leader="dot" w:pos="9026"/>
            </w:tabs>
            <w:spacing w:before="120" w:after="60"/>
          </w:pPr>
          <w:r>
            <w:t>3.6 Digital Infrastructure</w:t>
          </w:r>
          <w:r>
            <w:tab/>
          </w:r>
          <w:r>
            <w:t>9</w:t>
          </w:r>
        </w:p>
        <w:p>
          <w:pPr>
            <w:pStyle w:val="11"/>
            <w:ind w:left="360"/>
            <w:tabs>
              <w:tab w:val="right" w:leader="dot" w:pos="9026"/>
            </w:tabs>
            <w:spacing w:before="120" w:after="60"/>
          </w:pPr>
          <w:r>
            <w:t>3.7 Comparative Infrastructure Snapshot</w:t>
          </w:r>
          <w:r>
            <w:tab/>
          </w:r>
          <w:r>
            <w:t>9</w:t>
          </w:r>
        </w:p>
        <w:p>
          <w:pPr>
            <w:pStyle w:val="9"/>
            <w:tabs>
              <w:tab w:val="right" w:leader="dot" w:pos="9026"/>
            </w:tabs>
            <w:spacing w:before="120" w:after="60"/>
          </w:pPr>
          <w:r>
            <w:t>4. Risk Assessment</w:t>
          </w:r>
          <w:r>
            <w:tab/>
          </w:r>
          <w:r>
            <w:t>9</w:t>
          </w:r>
        </w:p>
        <w:p>
          <w:pPr>
            <w:pStyle w:val="11"/>
            <w:ind w:left="360"/>
            <w:tabs>
              <w:tab w:val="right" w:leader="dot" w:pos="9026"/>
            </w:tabs>
            <w:spacing w:before="120" w:after="60"/>
          </w:pPr>
          <w:r>
            <w:t>4.1 Political and Policy Risk</w:t>
          </w:r>
          <w:r>
            <w:tab/>
          </w:r>
          <w:r>
            <w:t>9</w:t>
          </w:r>
        </w:p>
        <w:p>
          <w:pPr>
            <w:pStyle w:val="11"/>
            <w:ind w:left="360"/>
            <w:tabs>
              <w:tab w:val="right" w:leader="dot" w:pos="9026"/>
            </w:tabs>
            <w:spacing w:before="120" w:after="60"/>
          </w:pPr>
          <w:r>
            <w:t>4.2 Fiscal Risk</w:t>
          </w:r>
          <w:r>
            <w:tab/>
          </w:r>
          <w:r>
            <w:t>10</w:t>
          </w:r>
        </w:p>
        <w:p>
          <w:pPr>
            <w:pStyle w:val="11"/>
            <w:ind w:left="360"/>
            <w:tabs>
              <w:tab w:val="right" w:leader="dot" w:pos="9026"/>
            </w:tabs>
            <w:spacing w:before="120" w:after="60"/>
          </w:pPr>
          <w:r>
            <w:t>4.3 Security Risk</w:t>
          </w:r>
          <w:r>
            <w:tab/>
          </w:r>
          <w:r>
            <w:t>10</w:t>
          </w:r>
        </w:p>
        <w:p>
          <w:pPr>
            <w:pStyle w:val="11"/>
            <w:ind w:left="360"/>
            <w:tabs>
              <w:tab w:val="right" w:leader="dot" w:pos="9026"/>
            </w:tabs>
            <w:spacing w:before="120" w:after="60"/>
          </w:pPr>
          <w:r>
            <w:t>4.4 Operational Risk</w:t>
          </w:r>
          <w:r>
            <w:tab/>
          </w:r>
          <w:r>
            <w:t>11</w:t>
          </w:r>
        </w:p>
        <w:p>
          <w:pPr>
            <w:pStyle w:val="11"/>
            <w:ind w:left="360"/>
            <w:tabs>
              <w:tab w:val="right" w:leader="dot" w:pos="9026"/>
            </w:tabs>
            <w:spacing w:before="120" w:after="60"/>
          </w:pPr>
          <w:r>
            <w:t>4.5 Market and Commodity Risk</w:t>
          </w:r>
          <w:r>
            <w:tab/>
          </w:r>
          <w:r>
            <w:t>11</w:t>
          </w:r>
        </w:p>
        <w:p>
          <w:pPr>
            <w:pStyle w:val="11"/>
            <w:ind w:left="360"/>
            <w:tabs>
              <w:tab w:val="right" w:leader="dot" w:pos="9026"/>
            </w:tabs>
            <w:spacing w:before="120" w:after="60"/>
          </w:pPr>
          <w:r>
            <w:t>4.6 Currency and Convertibility Risk</w:t>
          </w:r>
          <w:r>
            <w:tab/>
          </w:r>
          <w:r>
            <w:t>11</w:t>
          </w:r>
        </w:p>
        <w:p>
          <w:pPr>
            <w:pStyle w:val="11"/>
            <w:ind w:left="360"/>
            <w:tabs>
              <w:tab w:val="right" w:leader="dot" w:pos="9026"/>
            </w:tabs>
            <w:spacing w:before="120" w:after="60"/>
          </w:pPr>
          <w:r>
            <w:t>4.7 Reputational Risk</w:t>
          </w:r>
          <w:r>
            <w:tab/>
          </w:r>
          <w:r>
            <w:t>12</w:t>
          </w:r>
        </w:p>
        <w:p>
          <w:pPr>
            <w:pStyle w:val="9"/>
            <w:tabs>
              <w:tab w:val="right" w:leader="dot" w:pos="9026"/>
            </w:tabs>
            <w:spacing w:before="120" w:after="60"/>
          </w:pPr>
          <w:r>
            <w:t>5. ESG and Community Challenges</w:t>
          </w:r>
          <w:r>
            <w:tab/>
          </w:r>
          <w:r>
            <w:t>12</w:t>
          </w:r>
        </w:p>
        <w:p>
          <w:pPr>
            <w:pStyle w:val="11"/>
            <w:ind w:left="360"/>
            <w:tabs>
              <w:tab w:val="right" w:leader="dot" w:pos="9026"/>
            </w:tabs>
            <w:spacing w:before="120" w:after="60"/>
          </w:pPr>
          <w:r>
            <w:t>5.1 Environmental Legacy and Mine Closure</w:t>
          </w:r>
          <w:r>
            <w:tab/>
          </w:r>
          <w:r>
            <w:t>12</w:t>
          </w:r>
        </w:p>
        <w:p>
          <w:pPr>
            <w:pStyle w:val="11"/>
            <w:ind w:left="360"/>
            <w:tabs>
              <w:tab w:val="right" w:leader="dot" w:pos="9026"/>
            </w:tabs>
            <w:spacing w:before="120" w:after="60"/>
          </w:pPr>
          <w:r>
            <w:t>5.2 Mercury Use in ASM</w:t>
          </w:r>
          <w:r>
            <w:tab/>
          </w:r>
          <w:r>
            <w:t>13</w:t>
          </w:r>
        </w:p>
        <w:p>
          <w:pPr>
            <w:pStyle w:val="11"/>
            <w:ind w:left="360"/>
            <w:tabs>
              <w:tab w:val="right" w:leader="dot" w:pos="9026"/>
            </w:tabs>
            <w:spacing w:before="120" w:after="60"/>
          </w:pPr>
          <w:r>
            <w:t>5.3 Deforestation and Biodiversity</w:t>
          </w:r>
          <w:r>
            <w:tab/>
          </w:r>
          <w:r>
            <w:t>13</w:t>
          </w:r>
        </w:p>
        <w:p>
          <w:pPr>
            <w:pStyle w:val="11"/>
            <w:ind w:left="360"/>
            <w:tabs>
              <w:tab w:val="right" w:leader="dot" w:pos="9026"/>
            </w:tabs>
            <w:spacing w:before="120" w:after="60"/>
          </w:pPr>
          <w:r>
            <w:t>5.4 Water Pollution</w:t>
          </w:r>
          <w:r>
            <w:tab/>
          </w:r>
          <w:r>
            <w:t>13</w:t>
          </w:r>
        </w:p>
        <w:p>
          <w:pPr>
            <w:pStyle w:val="11"/>
            <w:ind w:left="360"/>
            <w:tabs>
              <w:tab w:val="right" w:leader="dot" w:pos="9026"/>
            </w:tabs>
            <w:spacing w:before="120" w:after="60"/>
          </w:pPr>
          <w:r>
            <w:t>5.5 Community Consent and Social Licence</w:t>
          </w:r>
          <w:r>
            <w:tab/>
          </w:r>
          <w:r>
            <w:t>14</w:t>
          </w:r>
        </w:p>
        <w:p>
          <w:pPr>
            <w:pStyle w:val="11"/>
            <w:ind w:left="360"/>
            <w:tabs>
              <w:tab w:val="right" w:leader="dot" w:pos="9026"/>
            </w:tabs>
            <w:spacing w:before="120" w:after="60"/>
          </w:pPr>
          <w:r>
            <w:t>5.6 Human Rights and Artisanal Labour</w:t>
          </w:r>
          <w:r>
            <w:tab/>
          </w:r>
          <w:r>
            <w:t>14</w:t>
          </w:r>
        </w:p>
        <w:p>
          <w:pPr>
            <w:pStyle w:val="11"/>
            <w:ind w:left="360"/>
            <w:tabs>
              <w:tab w:val="right" w:leader="dot" w:pos="9026"/>
            </w:tabs>
            <w:spacing w:before="120" w:after="60"/>
          </w:pPr>
          <w:r>
            <w:t>5.7 Climate Change and Energy Transition</w:t>
          </w:r>
          <w:r>
            <w:tab/>
          </w:r>
          <w:r>
            <w:t>14</w:t>
          </w:r>
        </w:p>
        <w:p>
          <w:pPr>
            <w:pStyle w:val="9"/>
            <w:tabs>
              <w:tab w:val="right" w:leader="dot" w:pos="9026"/>
            </w:tabs>
            <w:spacing w:before="120" w:after="60"/>
          </w:pPr>
          <w:r>
            <w:t>6. Digital Solutions and AI Systems for Government</w:t>
          </w:r>
          <w:r>
            <w:tab/>
          </w:r>
          <w:r>
            <w:t>15</w:t>
          </w:r>
        </w:p>
        <w:p>
          <w:pPr>
            <w:pStyle w:val="11"/>
            <w:ind w:left="360"/>
            <w:tabs>
              <w:tab w:val="right" w:leader="dot" w:pos="9026"/>
            </w:tabs>
            <w:spacing w:before="120" w:after="60"/>
          </w:pPr>
          <w:r>
            <w:t>6.1 Permit and Licensing Management</w:t>
          </w:r>
          <w:r>
            <w:tab/>
          </w:r>
          <w:r>
            <w:t>15</w:t>
          </w:r>
        </w:p>
        <w:p>
          <w:pPr>
            <w:pStyle w:val="12"/>
            <w:ind w:left="720"/>
            <w:tabs>
              <w:tab w:val="right" w:leader="dot" w:pos="9026"/>
            </w:tabs>
            <w:spacing w:before="120" w:after="60"/>
          </w:pPr>
          <w:r>
            <w:t>6.1.1 Option A: Trimble FlexiCadastre (Enterprise Mining Cadastre System)</w:t>
          </w:r>
          <w:r>
            <w:tab/>
          </w:r>
          <w:r>
            <w:t>15</w:t>
          </w:r>
        </w:p>
        <w:p>
          <w:pPr>
            <w:pStyle w:val="12"/>
            <w:ind w:left="720"/>
            <w:tabs>
              <w:tab w:val="right" w:leader="dot" w:pos="9026"/>
            </w:tabs>
            <w:spacing w:before="120" w:after="60"/>
          </w:pPr>
          <w:r>
            <w:t>6.1.2 Option B: World Bank EITI-Aligned Cloud SaaS (Open-Source Cadastre)</w:t>
          </w:r>
          <w:r>
            <w:tab/>
          </w:r>
          <w:r>
            <w:t>16</w:t>
          </w:r>
        </w:p>
        <w:p>
          <w:pPr>
            <w:pStyle w:val="11"/>
            <w:ind w:left="360"/>
            <w:tabs>
              <w:tab w:val="right" w:leader="dot" w:pos="9026"/>
            </w:tabs>
            <w:spacing w:before="120" w:after="60"/>
          </w:pPr>
          <w:r>
            <w:t>6.2 Production and Royalty Monitoring</w:t>
          </w:r>
          <w:r>
            <w:tab/>
          </w:r>
          <w:r>
            <w:t>16</w:t>
          </w:r>
        </w:p>
        <w:p>
          <w:pPr>
            <w:pStyle w:val="12"/>
            <w:ind w:left="720"/>
            <w:tabs>
              <w:tab w:val="right" w:leader="dot" w:pos="9026"/>
            </w:tabs>
            <w:spacing w:before="120" w:after="60"/>
          </w:pPr>
          <w:r>
            <w:t>6.2.1 Option A: IoT Conveyor-Belt Scale and XRF Analyser with Central Reconciliation Platform</w:t>
          </w:r>
          <w:r>
            <w:tab/>
          </w:r>
          <w:r>
            <w:t>16</w:t>
          </w:r>
        </w:p>
        <w:p>
          <w:pPr>
            <w:pStyle w:val="12"/>
            <w:ind w:left="720"/>
            <w:tabs>
              <w:tab w:val="right" w:leader="dot" w:pos="9026"/>
            </w:tabs>
            <w:spacing w:before="120" w:after="60"/>
          </w:pPr>
          <w:r>
            <w:t>6.2.2 Option B: Satellite-Based Production Estimation with Blockchain Royalty Audit</w:t>
          </w:r>
          <w:r>
            <w:tab/>
          </w:r>
          <w:r>
            <w:t>17</w:t>
          </w:r>
        </w:p>
        <w:p>
          <w:pPr>
            <w:pStyle w:val="11"/>
            <w:ind w:left="360"/>
            <w:tabs>
              <w:tab w:val="right" w:leader="dot" w:pos="9026"/>
            </w:tabs>
            <w:spacing w:before="120" w:after="60"/>
          </w:pPr>
          <w:r>
            <w:t>6.3 ASM Formalisation and Traceability</w:t>
          </w:r>
          <w:r>
            <w:tab/>
          </w:r>
          <w:r>
            <w:t>17</w:t>
          </w:r>
        </w:p>
        <w:p>
          <w:pPr>
            <w:pStyle w:val="12"/>
            <w:ind w:left="720"/>
            <w:tabs>
              <w:tab w:val="right" w:leader="dot" w:pos="9026"/>
            </w:tabs>
            <w:spacing w:before="120" w:after="60"/>
          </w:pPr>
          <w:r>
            <w:t>6.3.1 Option A: Impact Facility / Just Gold Mobile Traceability App</w:t>
          </w:r>
          <w:r>
            <w:tab/>
          </w:r>
          <w:r>
            <w:t>17</w:t>
          </w:r>
        </w:p>
        <w:p>
          <w:pPr>
            <w:pStyle w:val="12"/>
            <w:ind w:left="720"/>
            <w:tabs>
              <w:tab w:val="right" w:leader="dot" w:pos="9026"/>
            </w:tabs>
            <w:spacing w:before="120" w:after="60"/>
          </w:pPr>
          <w:r>
            <w:t>6.3.2 Option B: Mercury-Free Processing Hub Network with Digital Cooperative Management</w:t>
          </w:r>
          <w:r>
            <w:tab/>
          </w:r>
          <w:r>
            <w:t>18</w:t>
          </w:r>
        </w:p>
        <w:p>
          <w:pPr>
            <w:pStyle w:val="11"/>
            <w:ind w:left="360"/>
            <w:tabs>
              <w:tab w:val="right" w:leader="dot" w:pos="9026"/>
            </w:tabs>
            <w:spacing w:before="120" w:after="60"/>
          </w:pPr>
          <w:r>
            <w:t>6.4 Environmental Monitoring</w:t>
          </w:r>
          <w:r>
            <w:tab/>
          </w:r>
          <w:r>
            <w:t>18</w:t>
          </w:r>
        </w:p>
        <w:p>
          <w:pPr>
            <w:pStyle w:val="12"/>
            <w:ind w:left="720"/>
            <w:tabs>
              <w:tab w:val="right" w:leader="dot" w:pos="9026"/>
            </w:tabs>
            <w:spacing w:before="120" w:after="60"/>
          </w:pPr>
          <w:r>
            <w:t>6.4.1 Option A: Satellite Remote Sensing with AI Deforestation and Water-Quality Monitoring</w:t>
          </w:r>
          <w:r>
            <w:tab/>
          </w:r>
          <w:r>
            <w:t>19</w:t>
          </w:r>
        </w:p>
        <w:p>
          <w:pPr>
            <w:pStyle w:val="12"/>
            <w:ind w:left="720"/>
            <w:tabs>
              <w:tab w:val="right" w:leader="dot" w:pos="9026"/>
            </w:tabs>
            <w:spacing w:before="120" w:after="60"/>
          </w:pPr>
          <w:r>
            <w:t>6.4.2 Option B: Distributed IoT Sensor Network with Real-Time CIAPOL Dashboard</w:t>
          </w:r>
          <w:r>
            <w:tab/>
          </w:r>
          <w:r>
            <w:t>19</w:t>
          </w:r>
        </w:p>
        <w:p>
          <w:pPr>
            <w:pStyle w:val="11"/>
            <w:ind w:left="360"/>
            <w:tabs>
              <w:tab w:val="right" w:leader="dot" w:pos="9026"/>
            </w:tabs>
            <w:spacing w:before="120" w:after="60"/>
          </w:pPr>
          <w:r>
            <w:t>6.5 Community Engagement and Grievance Mechanism</w:t>
          </w:r>
          <w:r>
            <w:tab/>
          </w:r>
          <w:r>
            <w:t>20</w:t>
          </w:r>
        </w:p>
        <w:p>
          <w:pPr>
            <w:pStyle w:val="12"/>
            <w:ind w:left="720"/>
            <w:tabs>
              <w:tab w:val="right" w:leader="dot" w:pos="9026"/>
            </w:tabs>
            <w:spacing w:before="120" w:after="60"/>
          </w:pPr>
          <w:r>
            <w:t>6.5.1 Option A: Mobile-First Multilingual Grievance Platform (Ushahidi-Based)</w:t>
          </w:r>
          <w:r>
            <w:tab/>
          </w:r>
          <w:r>
            <w:t>20</w:t>
          </w:r>
        </w:p>
        <w:p>
          <w:pPr>
            <w:pStyle w:val="12"/>
            <w:ind w:left="720"/>
            <w:tabs>
              <w:tab w:val="right" w:leader="dot" w:pos="9026"/>
            </w:tabs>
            <w:spacing w:before="120" w:after="60"/>
          </w:pPr>
          <w:r>
            <w:t>6.5.2 Option B: AI Natural Language Processing Analysis of Social Media and Community Feedback</w:t>
          </w:r>
          <w:r>
            <w:tab/>
          </w:r>
          <w:r>
            <w:t>20</w:t>
          </w:r>
        </w:p>
        <w:p>
          <w:pPr>
            <w:pStyle w:val="11"/>
            <w:ind w:left="360"/>
            <w:tabs>
              <w:tab w:val="right" w:leader="dot" w:pos="9026"/>
            </w:tabs>
            <w:spacing w:before="120" w:after="60"/>
          </w:pPr>
          <w:r>
            <w:t>6.6 Mine Safety and Closure Oversight</w:t>
          </w:r>
          <w:r>
            <w:tab/>
          </w:r>
          <w:r>
            <w:t>21</w:t>
          </w:r>
        </w:p>
        <w:p>
          <w:pPr>
            <w:pStyle w:val="12"/>
            <w:ind w:left="720"/>
            <w:tabs>
              <w:tab w:val="right" w:leader="dot" w:pos="9026"/>
            </w:tabs>
            <w:spacing w:before="120" w:after="60"/>
          </w:pPr>
          <w:r>
            <w:t>6.6.1 Option A: Digital Twin of Mine Sites for Closure Planning and Bond Audit</w:t>
          </w:r>
          <w:r>
            <w:tab/>
          </w:r>
          <w:r>
            <w:t>21</w:t>
          </w:r>
        </w:p>
        <w:p>
          <w:pPr>
            <w:pStyle w:val="12"/>
            <w:ind w:left="720"/>
            <w:tabs>
              <w:tab w:val="right" w:leader="dot" w:pos="9026"/>
            </w:tabs>
            <w:spacing w:before="120" w:after="60"/>
          </w:pPr>
          <w:r>
            <w:t>6.6.2 Option B: Drone and LiDAR Monitoring of Slope Stability and Tailings Dams</w:t>
          </w:r>
          <w:r>
            <w:tab/>
          </w:r>
          <w:r>
            <w:t>21</w:t>
          </w:r>
        </w:p>
        <w:p>
          <w:pPr>
            <w:pStyle w:val="11"/>
            <w:ind w:left="360"/>
            <w:tabs>
              <w:tab w:val="right" w:leader="dot" w:pos="9026"/>
            </w:tabs>
            <w:spacing w:before="120" w:after="60"/>
          </w:pPr>
          <w:r>
            <w:t>6.7 Geodata Management and Predictive Exploration</w:t>
          </w:r>
          <w:r>
            <w:tab/>
          </w:r>
          <w:r>
            <w:t>22</w:t>
          </w:r>
        </w:p>
        <w:p>
          <w:pPr>
            <w:pStyle w:val="12"/>
            <w:ind w:left="720"/>
            <w:tabs>
              <w:tab w:val="right" w:leader="dot" w:pos="9026"/>
            </w:tabs>
            <w:spacing w:before="120" w:after="60"/>
          </w:pPr>
          <w:r>
            <w:t>6.7.1 Option A: National Digital Geological Database (BRGM Geotic Style)</w:t>
          </w:r>
          <w:r>
            <w:tab/>
          </w:r>
          <w:r>
            <w:t>22</w:t>
          </w:r>
        </w:p>
        <w:p>
          <w:pPr>
            <w:pStyle w:val="12"/>
            <w:ind w:left="720"/>
            <w:tabs>
              <w:tab w:val="right" w:leader="dot" w:pos="9026"/>
            </w:tabs>
            <w:spacing w:before="120" w:after="60"/>
          </w:pPr>
          <w:r>
            <w:t>6.7.2 Option B: AI-Driven Predictive Exploration Platform (GoldSpot / Earth AI Style)</w:t>
          </w:r>
          <w:r>
            <w:tab/>
          </w:r>
          <w:r>
            <w:t>22</w:t>
          </w:r>
        </w:p>
        <w:p>
          <w:pPr>
            <w:pStyle w:val="9"/>
            <w:tabs>
              <w:tab w:val="right" w:leader="dot" w:pos="9026"/>
            </w:tabs>
            <w:spacing w:before="120" w:after="60"/>
          </w:pPr>
          <w:r>
            <w:t>7. Process-Improving Technologies</w:t>
          </w:r>
          <w:r>
            <w:tab/>
          </w:r>
          <w:r>
            <w:t>23</w:t>
          </w:r>
        </w:p>
        <w:p>
          <w:pPr>
            <w:pStyle w:val="11"/>
            <w:ind w:left="360"/>
            <w:tabs>
              <w:tab w:val="right" w:leader="dot" w:pos="9026"/>
            </w:tabs>
            <w:spacing w:before="120" w:after="60"/>
          </w:pPr>
          <w:r>
            <w:t>7.1 Blockchain-Based Mineral Traceability</w:t>
          </w:r>
          <w:r>
            <w:tab/>
          </w:r>
          <w:r>
            <w:t>23</w:t>
          </w:r>
        </w:p>
        <w:p>
          <w:pPr>
            <w:pStyle w:val="11"/>
            <w:ind w:left="360"/>
            <w:tabs>
              <w:tab w:val="right" w:leader="dot" w:pos="9026"/>
            </w:tabs>
            <w:spacing w:before="120" w:after="60"/>
          </w:pPr>
          <w:r>
            <w:t>7.2 Satellite Remote Sensing and Earth Observation</w:t>
          </w:r>
          <w:r>
            <w:tab/>
          </w:r>
          <w:r>
            <w:t>23</w:t>
          </w:r>
        </w:p>
        <w:p>
          <w:pPr>
            <w:pStyle w:val="11"/>
            <w:ind w:left="360"/>
            <w:tabs>
              <w:tab w:val="right" w:leader="dot" w:pos="9026"/>
            </w:tabs>
            <w:spacing w:before="120" w:after="60"/>
          </w:pPr>
          <w:r>
            <w:t>7.3 IoT Sensor Networks in Mines</w:t>
          </w:r>
          <w:r>
            <w:tab/>
          </w:r>
          <w:r>
            <w:t>24</w:t>
          </w:r>
        </w:p>
        <w:p>
          <w:pPr>
            <w:pStyle w:val="11"/>
            <w:ind w:left="360"/>
            <w:tabs>
              <w:tab w:val="right" w:leader="dot" w:pos="9026"/>
            </w:tabs>
            <w:spacing w:before="120" w:after="60"/>
          </w:pPr>
          <w:r>
            <w:t>7.4 Drone Surveys and LiDAR</w:t>
          </w:r>
          <w:r>
            <w:tab/>
          </w:r>
          <w:r>
            <w:t>24</w:t>
          </w:r>
        </w:p>
        <w:p>
          <w:pPr>
            <w:pStyle w:val="11"/>
            <w:ind w:left="360"/>
            <w:tabs>
              <w:tab w:val="right" w:leader="dot" w:pos="9026"/>
            </w:tabs>
            <w:spacing w:before="120" w:after="60"/>
          </w:pPr>
          <w:r>
            <w:t>7.5 Digital Twin Technology</w:t>
          </w:r>
          <w:r>
            <w:tab/>
          </w:r>
          <w:r>
            <w:t>24</w:t>
          </w:r>
        </w:p>
        <w:p>
          <w:pPr>
            <w:pStyle w:val="11"/>
            <w:ind w:left="360"/>
            <w:tabs>
              <w:tab w:val="right" w:leader="dot" w:pos="9026"/>
            </w:tabs>
            <w:spacing w:before="120" w:after="60"/>
          </w:pPr>
          <w:r>
            <w:t>7.6 Predictive Analytics and Machine Learning</w:t>
          </w:r>
          <w:r>
            <w:tab/>
          </w:r>
          <w:r>
            <w:t>24</w:t>
          </w:r>
        </w:p>
        <w:p>
          <w:pPr>
            <w:pStyle w:val="11"/>
            <w:ind w:left="360"/>
            <w:tabs>
              <w:tab w:val="right" w:leader="dot" w:pos="9026"/>
            </w:tabs>
            <w:spacing w:before="120" w:after="60"/>
          </w:pPr>
          <w:r>
            <w:t>7.7 Mobile Money and Digital Payment</w:t>
          </w:r>
          <w:r>
            <w:tab/>
          </w:r>
          <w:r>
            <w:t>25</w:t>
          </w:r>
        </w:p>
        <w:p>
          <w:pPr>
            <w:pStyle w:val="11"/>
            <w:ind w:left="360"/>
            <w:tabs>
              <w:tab w:val="right" w:leader="dot" w:pos="9026"/>
            </w:tabs>
            <w:spacing w:before="120" w:after="60"/>
          </w:pPr>
          <w:r>
            <w:t>7.8 Cloud Computing and Data Lakes</w:t>
          </w:r>
          <w:r>
            <w:tab/>
          </w:r>
          <w:r>
            <w:t>25</w:t>
          </w:r>
        </w:p>
        <w:p>
          <w:pPr>
            <w:pStyle w:val="9"/>
            <w:tabs>
              <w:tab w:val="right" w:leader="dot" w:pos="9026"/>
            </w:tabs>
            <w:spacing w:before="120" w:after="60"/>
          </w:pPr>
          <w:r>
            <w:t>8. Implementation Roadmap and Benefits</w:t>
          </w:r>
          <w:r>
            <w:tab/>
          </w:r>
          <w:r>
            <w:t>25</w:t>
          </w:r>
        </w:p>
        <w:p>
          <w:pPr>
            <w:pStyle w:val="11"/>
            <w:ind w:left="360"/>
            <w:tabs>
              <w:tab w:val="right" w:leader="dot" w:pos="9026"/>
            </w:tabs>
            <w:spacing w:before="120" w:after="60"/>
          </w:pPr>
          <w:r>
            <w:t>8.1 Phased Implementation Roadmap</w:t>
          </w:r>
          <w:r>
            <w:tab/>
          </w:r>
          <w:r>
            <w:t>25</w:t>
          </w:r>
        </w:p>
        <w:p>
          <w:pPr>
            <w:pStyle w:val="11"/>
            <w:ind w:left="360"/>
            <w:tabs>
              <w:tab w:val="right" w:leader="dot" w:pos="9026"/>
            </w:tabs>
            <w:spacing w:before="120" w:after="60"/>
          </w:pPr>
          <w:r>
            <w:t>8.2 Indicative Budget Envelope</w:t>
          </w:r>
          <w:r>
            <w:tab/>
          </w:r>
          <w:r>
            <w:t>26</w:t>
          </w:r>
        </w:p>
        <w:p>
          <w:pPr>
            <w:pStyle w:val="11"/>
            <w:ind w:left="360"/>
            <w:tabs>
              <w:tab w:val="right" w:leader="dot" w:pos="9026"/>
            </w:tabs>
            <w:spacing w:before="120" w:after="60"/>
          </w:pPr>
          <w:r>
            <w:t>8.3 Government Benefits</w:t>
          </w:r>
          <w:r>
            <w:tab/>
          </w:r>
          <w:r>
            <w:t>26</w:t>
          </w:r>
        </w:p>
        <w:p>
          <w:pPr>
            <w:pStyle w:val="11"/>
            <w:ind w:left="360"/>
            <w:tabs>
              <w:tab w:val="right" w:leader="dot" w:pos="9026"/>
            </w:tabs>
            <w:spacing w:before="120" w:after="60"/>
          </w:pPr>
          <w:r>
            <w:t>8.4 Economic Benefits</w:t>
          </w:r>
          <w:r>
            <w:tab/>
          </w:r>
          <w:r>
            <w:t>27</w:t>
          </w:r>
        </w:p>
        <w:p>
          <w:pPr>
            <w:pStyle w:val="11"/>
            <w:ind w:left="360"/>
            <w:tabs>
              <w:tab w:val="right" w:leader="dot" w:pos="9026"/>
            </w:tabs>
            <w:spacing w:before="120" w:after="60"/>
          </w:pPr>
          <w:r>
            <w:t>8.5 ESG Benefits</w:t>
          </w:r>
          <w:r>
            <w:tab/>
          </w:r>
          <w:r>
            <w:t>27</w:t>
          </w:r>
        </w:p>
        <w:p>
          <w:pPr>
            <w:pStyle w:val="11"/>
            <w:ind w:left="360"/>
            <w:tabs>
              <w:tab w:val="right" w:leader="dot" w:pos="9026"/>
            </w:tabs>
            <w:spacing w:before="120" w:after="60"/>
          </w:pPr>
          <w:r>
            <w:t>8.6 Implementation Governance</w:t>
          </w:r>
          <w:r>
            <w:tab/>
          </w:r>
          <w:r>
            <w:t>27</w:t>
          </w:r>
        </w:p>
        <w:p>
          <w:r>
            <w:fldChar w:fldCharType="end"/>
          </w:r>
        </w:p>
      </w:sdtContent>
    </w:sdt>
    <w:p>
      <w:pPr>
        <w:spacing w:before="20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Calibri"/>
          <w:i/>
          <w:iCs/>
          <w:color w:val="888888"/>
          <w:sz w:val="18"/>
          <w:szCs w:val="18"/>
        </w:rPr>
        <w:t xml:space="preserve">Note: This Table of Contents is generated via field codes. To ensure page number accuracy after editing, please right-click the TOC and select "Update Field."</w:t>
      </w:r>
    </w:p>
    <w:p>
      <w:pPr>
        <w:pStyle w:val="Heading1"/>
        <w:spacing w:after="240" w:before="480" w:line="360"/>
      </w:pPr>
      <w:bookmarkStart w:name="_Toc1" w:id="1"/>
      <w:r>
        <w:rPr>
          <w:rFonts w:ascii="Calibri"/>
          <w:b/>
          <w:bCs/>
          <w:color w:val="0B2545"/>
          <w:sz w:val="32"/>
          <w:szCs w:val="32"/>
        </w:rPr>
        <w:t xml:space="preserve">1. Introduction and Methodology</w:t>
      </w:r>
      <w:bookmarkEnd w:id="1"/>
    </w:p>
    <w:p>
      <w:pPr>
        <w:pStyle w:val="Heading2"/>
        <w:spacing w:after="160" w:before="320" w:line="312"/>
      </w:pPr>
      <w:bookmarkStart w:name="_Toc2" w:id="2"/>
      <w:r>
        <w:rPr>
          <w:rFonts w:ascii="Calibri"/>
          <w:b/>
          <w:bCs/>
          <w:color w:val="0B2545"/>
          <w:sz w:val="28"/>
          <w:szCs w:val="28"/>
        </w:rPr>
        <w:t xml:space="preserve">1.1 Purpose and Scope</w:t>
      </w:r>
      <w:bookmarkEnd w:id="2"/>
    </w:p>
    <w:p>
      <w:pPr>
        <w:spacing w:after="160" w:line="312"/>
        <w:ind w:firstLine="0"/>
        <w:jc w:val="both"/>
      </w:pPr>
      <w:r>
        <w:rPr>
          <w:rFonts w:ascii="Times New Roman"/>
          <w:color w:val="000000"/>
          <w:sz w:val="22"/>
          <w:szCs w:val="22"/>
        </w:rPr>
        <w:t xml:space="preserve">This advisory note is Volume II of a two-volume series on the mining sector of Côte d'Ivoire. Volume I — Mining &amp; Minerals of Côte d'Ivoire — provided a reference note on the country's mineral deposits, operators, regulatory framework and regional positioning. This Volume II builds on that reference base by addressing the sector's principal strategic gaps, its risk landscape, and the digital and artificial intelligence systems that the Government of Côte d'Ivoire, working with the Directorate of Mines and Geology (DGMG), the Société pour le Développement Minier (SODEMI), the Centre Ivoirien Anti-Pollution (CIAPOL) and the Ministry of Mines, Petroleum and Energy, can deploy to address those gaps and risks. The intended audience is Ivorian government counterparts, policy and legal specialists advising on the sector, and operators and investors seeking to understand the strategic direction of regulatory and digital transformation.</w:t>
      </w:r>
    </w:p>
    <w:p>
      <w:pPr>
        <w:spacing w:after="160" w:line="312"/>
        <w:ind w:firstLine="0"/>
        <w:jc w:val="both"/>
      </w:pPr>
      <w:r>
        <w:rPr>
          <w:rFonts w:ascii="Times New Roman"/>
          <w:color w:val="000000"/>
          <w:sz w:val="22"/>
          <w:szCs w:val="22"/>
        </w:rPr>
        <w:t xml:space="preserve">The scope of Volume II covers four substantive areas: regulatory gaps (Chapter 2); infrastructure gaps versus competitor jurisdictions (Chapter 3); a structured risk assessment covering political, fiscal, security, operational, market and reputational risks (Chapter 4); and ESG and community challenges (Chapter 5). Chapter 6 sets out seven digital solution domains — permit management, production and royalty monitoring, ASM formalisation, environmental monitoring, community engagement, mine safety and closure, and geodata management — each presented with two specific technology options, implementation pathways and quantified benefits. Chapter 7 catalogues process-improving technologies that cut across multiple domains. Chapter 8 sets out a phased implementation roadmap with indicative budget and governance recommendations.</w:t>
      </w:r>
    </w:p>
    <w:p>
      <w:pPr>
        <w:pStyle w:val="Heading2"/>
        <w:spacing w:after="160" w:before="320" w:line="312"/>
      </w:pPr>
      <w:bookmarkStart w:name="_Toc3" w:id="3"/>
      <w:r>
        <w:rPr>
          <w:rFonts w:ascii="Calibri"/>
          <w:b/>
          <w:bCs/>
          <w:color w:val="0B2545"/>
          <w:sz w:val="28"/>
          <w:szCs w:val="28"/>
        </w:rPr>
        <w:t xml:space="preserve">1.2 Methodology and Sources</w:t>
      </w:r>
      <w:bookmarkEnd w:id="3"/>
    </w:p>
    <w:p>
      <w:pPr>
        <w:spacing w:after="160" w:line="312"/>
        <w:ind w:firstLine="0"/>
        <w:jc w:val="both"/>
      </w:pPr>
      <w:r>
        <w:rPr>
          <w:rFonts w:ascii="Times New Roman"/>
          <w:color w:val="000000"/>
          <w:sz w:val="22"/>
          <w:szCs w:val="22"/>
        </w:rPr>
        <w:t xml:space="preserve">The analysis draws on five categories of source material. First, comparative regulatory benchmarking against the mining codes of Ghana (Minerals and Mining Act 2006, Act 703), Mali (Ordinance 2019-005, as amended 2023), Burkina Faso (Loi 036-2015/CNT), and Guinea (Code Minier 2011, as amended 2023), supplemented by the African Mining Legislation Atlas maintained by the African Legal Support Facility. Second, infrastructure and operational data from the World Bank's Country Infrastructure Assessment for Côte d'Ivoire (2024), the African Development Bank's African Natural Resources Outlook (2023), and the U.S. Geological Survey Minerals Yearbook. Third, ESG and transparency sources, including the EITI Côte d'Ivoire reports, the World Bank Extractive Industries Global Program, and the Natural Resource Governance Institute's Resource Governance Index.</w:t>
      </w:r>
    </w:p>
    <w:p>
      <w:pPr>
        <w:spacing w:after="160" w:line="312"/>
        <w:ind w:firstLine="0"/>
        <w:jc w:val="both"/>
      </w:pPr>
      <w:r>
        <w:rPr>
          <w:rFonts w:ascii="Times New Roman"/>
          <w:color w:val="000000"/>
          <w:sz w:val="22"/>
          <w:szCs w:val="22"/>
        </w:rPr>
        <w:t xml:space="preserve">Fourth, technology and digital solutions sources, including the World Bank Extractive Industries Digital Solutions catalogue, the African Union Digital Transformation Strategy for Mining, and case studies from the implementation of mining cadastre systems in Burkina Faso (FlexiCadastre, 2014), Liberia (FlexiCadastre, 2017), Mozambique (MIREME Geoportal, 2019), and Ghana (MinCom Online, 2021). Fifth, vendor and technology documentation for the specific platforms referenced in Chapter 6 — including Trimble's FlexiCadastre, the World Bank EITI-aligned open-source cadastre, the Impact Facility's Just Gold programme, Planet Labs' earth observation platform, and Bentley Systems' iTwin digital twin platform. The recommendations are based on these sources and on the technical assessment of the authors; practitioners should conduct independent due diligence before technology procurement.</w:t>
      </w:r>
    </w:p>
    <w:p>
      <w:pPr>
        <w:pStyle w:val="Heading1"/>
        <w:spacing w:after="240" w:before="480" w:line="360"/>
      </w:pPr>
      <w:bookmarkStart w:name="_Toc4" w:id="4"/>
      <w:r>
        <w:rPr>
          <w:rFonts w:ascii="Calibri"/>
          <w:b/>
          <w:bCs/>
          <w:color w:val="0B2545"/>
          <w:sz w:val="32"/>
          <w:szCs w:val="32"/>
        </w:rPr>
        <w:t xml:space="preserve">2. Regulatory Gaps Analysis</w:t>
      </w:r>
      <w:bookmarkEnd w:id="4"/>
    </w:p>
    <w:p>
      <w:pPr>
        <w:pStyle w:val="Heading2"/>
        <w:spacing w:after="160" w:before="320" w:line="312"/>
      </w:pPr>
      <w:bookmarkStart w:name="_Toc5" w:id="5"/>
      <w:r>
        <w:rPr>
          <w:rFonts w:ascii="Calibri"/>
          <w:b/>
          <w:bCs/>
          <w:color w:val="0B2545"/>
          <w:sz w:val="28"/>
          <w:szCs w:val="28"/>
        </w:rPr>
        <w:t xml:space="preserve">2.1 Permit Processing Delays and Licensing Backlog</w:t>
      </w:r>
      <w:bookmarkEnd w:id="5"/>
    </w:p>
    <w:p>
      <w:pPr>
        <w:spacing w:after="160" w:line="312"/>
        <w:ind w:firstLine="0"/>
        <w:jc w:val="both"/>
      </w:pPr>
      <w:r>
        <w:rPr>
          <w:rFonts w:ascii="Times New Roman"/>
          <w:color w:val="000000"/>
          <w:sz w:val="22"/>
          <w:szCs w:val="22"/>
        </w:rPr>
        <w:t xml:space="preserve">The most material regulatory gap facing the Côte d'Ivoire mining sector is the licensing backlog at the Directorate of Mines and Geology (DGMG). According to government disclosures in October 2025, approximately 1,650 permit applications were pending as of that date, with average processing times of 6–18 months from application to Council of Ministers decree. This backlog represents both an opportunity cost — significant investor capital is tied up in awaiting permit decisions — and a regulatory risk, as applicants face uncertainty about permit terms between application and grant. The backlog is concentrated in exploration permits for gold and critical minerals, where investor interest is strongest and where delays most directly affect project development timelines.</w:t>
      </w:r>
    </w:p>
    <w:p>
      <w:pPr>
        <w:spacing w:after="160" w:line="312"/>
        <w:ind w:firstLine="0"/>
        <w:jc w:val="both"/>
      </w:pPr>
      <w:r>
        <w:rPr>
          <w:rFonts w:ascii="Times New Roman"/>
          <w:color w:val="000000"/>
          <w:sz w:val="22"/>
          <w:szCs w:val="22"/>
        </w:rPr>
        <w:t xml:space="preserve">The comparator experience is instructive. Ghana's Minerals Commission implemented an online permit management system (MinCom Online) in 2021, reducing average exploration permit processing times from 14 months to 4 months within 18 months of implementation. Burkina Faso's adoption of FlexiCadastre in 2014 reduced processing times from 18 months to 6 months while improving transparency. Liberia's FlexiCadastre implementation, supported by the World Bank, reduced processing times from 24 months to 9 months. The lesson is consistent: digital cadastre systems, combined with procedural reform and staff augmentation, can reduce processing times by 60–70% within 18 months. The Government of Côte d'Ivoire's 2024 announcement of a digital permit management system is the right strategic direction; the implementation challenge is execution.</w:t>
      </w:r>
    </w:p>
    <w:p>
      <w:pPr>
        <w:spacing w:after="160" w:line="312"/>
        <w:ind w:firstLine="0"/>
        <w:jc w:val="both"/>
      </w:pPr>
      <w:r>
        <w:rPr>
          <w:rFonts w:ascii="Times New Roman"/>
          <w:color w:val="000000"/>
          <w:sz w:val="22"/>
          <w:szCs w:val="22"/>
        </w:rPr>
        <w:t xml:space="preserve">The legal and policy implications of the backlog are significant. Under Article 23 of the Mining Code, an Exploration Permit application that is not decided within 90 days is deemed accepted — a provision intended to provide certainty to applicants but in practice rarely invoked because applicants are reluctant to confront the administration. The backlog also creates risks of inconsistent treatment, with applicants of similar profile receiving different timelines and conditions. From a compliance perspective, operators considering investment in Côte d'Ivoire should structure permit applications to allow for the 6–18 month processing window and should engage early with the DGMG to confirm application completeness. From a government perspective, the digital cadastre system recommended in Chapter 6.1 is the principal remedy.</w:t>
      </w:r>
    </w:p>
    <w:p>
      <w:pPr>
        <w:pStyle w:val="Heading2"/>
        <w:spacing w:after="160" w:before="320" w:line="312"/>
      </w:pPr>
      <w:bookmarkStart w:name="_Toc6" w:id="6"/>
      <w:r>
        <w:rPr>
          <w:rFonts w:ascii="Calibri"/>
          <w:b/>
          <w:bCs/>
          <w:color w:val="0B2545"/>
          <w:sz w:val="28"/>
          <w:szCs w:val="28"/>
        </w:rPr>
        <w:t xml:space="preserve">2.2 Stabilisation Clause Durability</w:t>
      </w:r>
      <w:bookmarkEnd w:id="6"/>
    </w:p>
    <w:p>
      <w:pPr>
        <w:spacing w:after="160" w:line="312"/>
        <w:ind w:firstLine="0"/>
        <w:jc w:val="both"/>
      </w:pPr>
      <w:r>
        <w:rPr>
          <w:rFonts w:ascii="Times New Roman"/>
          <w:color w:val="000000"/>
          <w:sz w:val="22"/>
          <w:szCs w:val="22"/>
        </w:rPr>
        <w:t xml:space="preserve">The Mining Code's stabilisation clause — guaranteeing the fiscal regime in force at the date of grant of an exploitation permit for the duration of that permit — has been a material factor in attracting long-term investment. However, the clause's durability has been tested by the succession of amendments to the Mining Code since 2014 (in 2018, 2022 and 2023), each of which has the potential to affect the stabilised regime. The 2023 amendments in Mali, which raised state equity from 20% to 25% and increased royalties on strategic minerals, have prompted Ivorian operators to seek clarification of the scope and durability of the Ivorian stabilisation clause, particularly in respect of new taxes, levies or local content obligations introduced after the grant of an exploitation permit.</w:t>
      </w:r>
    </w:p>
    <w:p>
      <w:pPr>
        <w:spacing w:after="160" w:line="312"/>
        <w:ind w:firstLine="0"/>
        <w:jc w:val="both"/>
      </w:pPr>
      <w:r>
        <w:rPr>
          <w:rFonts w:ascii="Times New Roman"/>
          <w:color w:val="000000"/>
          <w:sz w:val="22"/>
          <w:szCs w:val="22"/>
        </w:rPr>
        <w:t xml:space="preserve">The gap is not in the existence of the stabilisation clause — which is well drafted and broadly consistent with international good practice — but in its operationalisation. Mining conventions negotiated under the 2014 Code vary in their treatment of subsequent regulatory changes, with some conventions containing broad stabilisation language and others containing narrower language limited to fiscal terms. The Ministry of Mines does not publish a model mining convention, and there is no centralised register of stabilisation commitments. From a policy perspective, the publication of a model mining convention — as has been done in Ghana and Burkina Faso — would improve predictability and reduce the time required for convention negotiation. From a legal perspective, operators should ensure that mining conventions explicitly address the interaction between the stabilisation clause and subsequent regulatory changes, including those affecting local content, environmental obligations and beneficial ownership disclosure.</w:t>
      </w:r>
    </w:p>
    <w:p>
      <w:pPr>
        <w:pStyle w:val="Heading2"/>
        <w:spacing w:after="160" w:before="320" w:line="312"/>
      </w:pPr>
      <w:bookmarkStart w:name="_Toc7" w:id="7"/>
      <w:r>
        <w:rPr>
          <w:rFonts w:ascii="Calibri"/>
          <w:b/>
          <w:bCs/>
          <w:color w:val="0B2545"/>
          <w:sz w:val="28"/>
          <w:szCs w:val="28"/>
        </w:rPr>
        <w:t xml:space="preserve">2.3 Local Content Enforcement</w:t>
      </w:r>
      <w:bookmarkEnd w:id="7"/>
    </w:p>
    <w:p>
      <w:pPr>
        <w:spacing w:after="160" w:line="312"/>
        <w:ind w:firstLine="0"/>
        <w:jc w:val="both"/>
      </w:pPr>
      <w:r>
        <w:rPr>
          <w:rFonts w:ascii="Times New Roman"/>
          <w:color w:val="000000"/>
          <w:sz w:val="22"/>
          <w:szCs w:val="22"/>
        </w:rPr>
        <w:t xml:space="preserve">The local content regime — anchored in Law No. 2022-408 of 12 July 2022 and Decree No. 2023-441 of 14 June 2023 — establishes graduated obligations on mining companies to localise workforce, procurement and corporate governance. The 20% procurement set-aside for local companies supplying core mining goods and services, taking effect from 1 July 2026, is the most material innovation. The principal regulatory gap is enforcement: the Local Content Monitoring Committee, established under the Ministry of Mines, lacks the audit capacity, technical staff and digital infrastructure to monitor and enforce compliance across the operating mines. The Committee currently relies on operator self-reporting, with limited verification and limited sanctions for non-compliance.</w:t>
      </w:r>
    </w:p>
    <w:p>
      <w:pPr>
        <w:spacing w:after="160" w:line="312"/>
        <w:ind w:firstLine="0"/>
        <w:jc w:val="both"/>
      </w:pPr>
      <w:r>
        <w:rPr>
          <w:rFonts w:ascii="Times New Roman"/>
          <w:color w:val="000000"/>
          <w:sz w:val="22"/>
          <w:szCs w:val="22"/>
        </w:rPr>
        <w:t xml:space="preserve">The comparator experience is instructive. Ghana's Local Content Regulations (LI 2173 of 2014) established a Local Content Committee with audit powers and a structured reporting framework; enforcement has been inconsistent but the framework provides a basis for action. Nigeria's Nigerian Content Development and Monitoring Board (NCDMB), established under the Nigerian Oil and Gas Industry Content Development Act 2010, has demonstrated that effective enforcement requires dedicated technical staff, a digital procurement monitoring platform, and credible sanctions. The Côte d'Ivoire Local Content Monitoring Committee requires comparable capacity, including: (i) technical staff trained in supply-chain audit and Ivorian content determination; (ii) a digital procurement monitoring platform linked to operator ERP systems; (iii) clear sanctions for non-compliance, including financial penalties and permit suspension; and (iv) a structured annual reporting framework with public disclosure.</w:t>
      </w:r>
    </w:p>
    <w:p>
      <w:pPr>
        <w:pStyle w:val="Heading2"/>
        <w:spacing w:after="160" w:before="320" w:line="312"/>
      </w:pPr>
      <w:bookmarkStart w:name="_Toc8" w:id="8"/>
      <w:r>
        <w:rPr>
          <w:rFonts w:ascii="Calibri"/>
          <w:b/>
          <w:bCs/>
          <w:color w:val="0B2545"/>
          <w:sz w:val="28"/>
          <w:szCs w:val="28"/>
        </w:rPr>
        <w:t xml:space="preserve">2.4 Beneficial Ownership Transparency</w:t>
      </w:r>
      <w:bookmarkEnd w:id="8"/>
    </w:p>
    <w:p>
      <w:pPr>
        <w:spacing w:after="160" w:line="312"/>
        <w:ind w:firstLine="0"/>
        <w:jc w:val="both"/>
      </w:pPr>
      <w:r>
        <w:rPr>
          <w:rFonts w:ascii="Times New Roman"/>
          <w:color w:val="000000"/>
          <w:sz w:val="22"/>
          <w:szCs w:val="22"/>
        </w:rPr>
        <w:t xml:space="preserve">Côte d'Ivoire has been EITI-compliant since 2013 and has committed to beneficial ownership disclosure under the 2020 EITI Standard. The Beneficial Ownership Registry, housed within the Centre de Formalisation des Entreprises (CEP) under the Ministry of Commerce, became operational in 2023. However, the registry's coverage of mining permit holders is incomplete, with beneficial ownership data for approximately 60% of permit holders reported as of mid-2025. The principal gaps are: (i) verification of disclosed beneficial ownership data, with limited cross-checking against national identity registers and corporate registries; (ii) coverage of indirect ownership chains through intermediate holding companies in offshore jurisdictions; and (iii) timeliness — filings are annual but changes in ownership during the year may not be captured.</w:t>
      </w:r>
    </w:p>
    <w:p>
      <w:pPr>
        <w:spacing w:after="160" w:line="312"/>
        <w:ind w:firstLine="0"/>
        <w:jc w:val="both"/>
      </w:pPr>
      <w:r>
        <w:rPr>
          <w:rFonts w:ascii="Times New Roman"/>
          <w:color w:val="000000"/>
          <w:sz w:val="22"/>
          <w:szCs w:val="22"/>
        </w:rPr>
        <w:t xml:space="preserve">The regulatory gap is the absence of an effective verification mechanism. EITI good practice, articulated in the 2020 EITI Standard and refined in the 2023 Validation Guide, requires that beneficial ownership data be subject to credible verification — either through cross-checking with corporate registries, identity databases, or independent audit. Côte d'Ivoire's registry currently relies on operator self-declaration with limited verification. The remedy is the integration of the Beneficial Ownership Registry with the national corporate registry (held by the Greffe du Tribunal de Commerce) and the national identity register (held by the Agence Nationale de l'Identification Civile), with automated cross-referencing of disclosed beneficial owners against these source databases. This is a technical and regulatory project that can be delivered within 18 months at a cost of approximately USD 2–3 million, with material benefits for transparency and anti-corruption credibility.</w:t>
      </w:r>
    </w:p>
    <w:p>
      <w:pPr>
        <w:pStyle w:val="Heading2"/>
        <w:spacing w:after="160" w:before="320" w:line="312"/>
      </w:pPr>
      <w:bookmarkStart w:name="_Toc9" w:id="9"/>
      <w:r>
        <w:rPr>
          <w:rFonts w:ascii="Calibri"/>
          <w:b/>
          <w:bCs/>
          <w:color w:val="0B2545"/>
          <w:sz w:val="28"/>
          <w:szCs w:val="28"/>
        </w:rPr>
        <w:t xml:space="preserve">2.5 Strategic Minerals Fiscal Regime</w:t>
      </w:r>
      <w:bookmarkEnd w:id="9"/>
    </w:p>
    <w:p>
      <w:pPr>
        <w:spacing w:after="160" w:line="312"/>
        <w:ind w:firstLine="0"/>
        <w:jc w:val="both"/>
      </w:pPr>
      <w:r>
        <w:rPr>
          <w:rFonts w:ascii="Times New Roman"/>
          <w:color w:val="000000"/>
          <w:sz w:val="22"/>
          <w:szCs w:val="22"/>
        </w:rPr>
        <w:t xml:space="preserve">The Mining Code's classification of strategic minerals — extended in 2022 to include lithium, cobalt, rare earths and other battery minerals — has resulted in a 5% royalty rate for these minerals, higher than the 3% applied to gold. However, the Code does not currently provide a differentiated fiscal regime for strategic minerals comparable to those adopted in competitor jurisdictions. The Democratic Republic of Congo's 2018 Mining Code classifies 14 minerals as strategic with a 10% royalty rate; Zimbabwe's 2022 Base Minerals Export Control Act classifies lithium and PGMs as strategic with controlled export regimes; Namibia's 2023 Critical Minerals Strategy introduces a state equity participation of up to 24% in critical mineral projects.</w:t>
      </w:r>
    </w:p>
    <w:p>
      <w:pPr>
        <w:spacing w:after="160" w:line="312"/>
        <w:ind w:firstLine="0"/>
        <w:jc w:val="both"/>
      </w:pPr>
      <w:r>
        <w:rPr>
          <w:rFonts w:ascii="Times New Roman"/>
          <w:color w:val="000000"/>
          <w:sz w:val="22"/>
          <w:szCs w:val="22"/>
        </w:rPr>
        <w:t xml:space="preserve">The policy choice facing Côte d'Ivoire is whether to introduce a differentiated fiscal regime for strategic minerals — with potentially higher royalty rates, higher state equity participation, or value-addition requirements — to capture a greater share of the value chain for the State, or to maintain the current regime to attract investment in the early stages of the country's critical minerals development. The trade-off is material: too high a fiscal take may deter investment in the early-stage projects that the country needs to attract; too low a fiscal take may forgo revenue that could be substantial once projects reach production. The recommendation, supported by the IMF and the World Bank in their 2024 sectoral assessments, is to maintain the current regime for an initial 5-year period through 2030, while developing a strategic minerals policy that includes provisions for downstream processing, local content and technology transfer. This policy should be developed in 2026 and presented to the National Assembly in 2027.</w:t>
      </w:r>
    </w:p>
    <w:p>
      <w:pPr>
        <w:pStyle w:val="Heading2"/>
        <w:spacing w:after="160" w:before="320" w:line="312"/>
      </w:pPr>
      <w:bookmarkStart w:name="_Toc10" w:id="10"/>
      <w:r>
        <w:rPr>
          <w:rFonts w:ascii="Calibri"/>
          <w:b/>
          <w:bCs/>
          <w:color w:val="0B2545"/>
          <w:sz w:val="28"/>
          <w:szCs w:val="28"/>
        </w:rPr>
        <w:t xml:space="preserve">2.6 Mine Closure Bond Methodology</w:t>
      </w:r>
      <w:bookmarkEnd w:id="10"/>
    </w:p>
    <w:p>
      <w:pPr>
        <w:spacing w:after="160" w:line="312"/>
        <w:ind w:firstLine="0"/>
        <w:jc w:val="both"/>
      </w:pPr>
      <w:r>
        <w:rPr>
          <w:rFonts w:ascii="Times New Roman"/>
          <w:color w:val="000000"/>
          <w:sz w:val="22"/>
          <w:szCs w:val="22"/>
        </w:rPr>
        <w:t xml:space="preserve">Article 79 of the Mining Code and Decree No. 2014-211 of 30 April 2014 on mine closure establish the obligation for operators to provide a mine closure bond (caution de fermeture) in the form of a bank guarantee or cash deposit sufficient to cover projected closure and rehabilitation costs. The methodology for calculating the bond amount is not specified in the Code or the Decree, and is left to negotiation between the operator and the Ministry of Mines. In practice, the bond amounts have been calculated by operators based on internal estimates, with limited independent verification. The principal gap is the absence of an independent, standardised methodology for closure cost estimation, comparable to the methodologies used in Australia (the Queensland Financial Assurance Framework), Canada (the BC Mine Reclamation Bond Calculator) and South Africa (the DMR Financial Provisioning Regulations 2015).</w:t>
      </w:r>
    </w:p>
    <w:p>
      <w:pPr>
        <w:spacing w:after="160" w:line="312"/>
        <w:ind w:firstLine="0"/>
        <w:jc w:val="both"/>
      </w:pPr>
      <w:r>
        <w:rPr>
          <w:rFonts w:ascii="Times New Roman"/>
          <w:color w:val="000000"/>
          <w:sz w:val="22"/>
          <w:szCs w:val="22"/>
        </w:rPr>
        <w:t xml:space="preserve">This gap will become material as the country's mine fleet ages and as the first generation of mines approaches closure in the 2030s. The Ity mine, in operation since 1991, is currently projected to close in 2032; the Sissingué mine is in wind-down with closure projected for 2027; and several other operations will reach end-of-life in the 2030s. The cumulative closure liability across the sector has been estimated by industry sources at USD 200–400 million, against which the existing bond pool is materially inadequate. The remedy is the development, with World Bank support, of a standardised closure cost methodology and the conduct of an independent sector-wide closure liability assessment. This work should be initiated in 2026 and completed in 2027, with revised bond calculations implemented by 2028.</w:t>
      </w:r>
    </w:p>
    <w:p>
      <w:pPr>
        <w:pStyle w:val="Heading2"/>
        <w:spacing w:after="160" w:before="320" w:line="312"/>
      </w:pPr>
      <w:bookmarkStart w:name="_Toc11" w:id="11"/>
      <w:r>
        <w:rPr>
          <w:rFonts w:ascii="Calibri"/>
          <w:b/>
          <w:bCs/>
          <w:color w:val="0B2545"/>
          <w:sz w:val="28"/>
          <w:szCs w:val="28"/>
        </w:rPr>
        <w:t xml:space="preserve">2.7 ASM Formalisation and Cross-Border Smuggling</w:t>
      </w:r>
      <w:bookmarkEnd w:id="11"/>
    </w:p>
    <w:p>
      <w:pPr>
        <w:spacing w:after="160" w:line="312"/>
        <w:ind w:firstLine="0"/>
        <w:jc w:val="both"/>
      </w:pPr>
      <w:r>
        <w:rPr>
          <w:rFonts w:ascii="Times New Roman"/>
          <w:color w:val="000000"/>
          <w:sz w:val="22"/>
          <w:szCs w:val="22"/>
        </w:rPr>
        <w:t xml:space="preserve">The artisanal and small-scale mining (ASM) sector employs an estimated 500,000–1,000,000 people in Côte d'Ivoire and produces an estimated 19 tonnes of gold per annum (per Metals Focus estimates), exceeding the entire industrial mine output. The Mining Code establishes a separate licensing regime for ASM, with authorisations issued by the Directorate of Mines and Quarries. However, the formalisation rate is low — perhaps 20–30% of active ASM operations hold valid authorisations — and the regulatory regime is weakly enforced. The principal gaps are: (i) the limited capacity of the Directorate of Mines and Quarries to issue and monitor authorisations; (ii) the absence of effective mercury-free processing infrastructure, with mercury use remaining common despite the country's ratification of the Minamata Convention; and (iii) cross-border smuggling of artisanal gold, estimated at 20–30% of ASM production.</w:t>
      </w:r>
    </w:p>
    <w:p>
      <w:pPr>
        <w:spacing w:after="160" w:line="312"/>
        <w:ind w:firstLine="0"/>
        <w:jc w:val="both"/>
      </w:pPr>
      <w:r>
        <w:rPr>
          <w:rFonts w:ascii="Times New Roman"/>
          <w:color w:val="000000"/>
          <w:sz w:val="22"/>
          <w:szCs w:val="22"/>
        </w:rPr>
        <w:t xml:space="preserve">The comparator experience suggests two principal remedies. First, the establishment of a network of mercury-free processing hubs — operated as joint ventures between the State (through SODEMI), development partners (UNIDO, the Global Environment Facility), and private operators — providing artisanal miners with access to clean processing technology in exchange for formalisation. The Impact Facility's Just Gold programme in the Democratic Republic of Congo and the Fairtrade Foundation's programme in Tanzania provide models. Second, the introduction of a mobile-based ASM traceability system, allowing ASM gold to be tracked from mine-site to export and providing the basis for fiscal capture and ESG due diligence. The combination of these two remedies — clean processing infrastructure and digital traceability — addresses both the environmental and the fiscal dimensions of the ASM challenge.</w:t>
      </w:r>
    </w:p>
    <w:p>
      <w:pPr>
        <w:pStyle w:val="Heading2"/>
        <w:spacing w:after="160" w:before="320" w:line="312"/>
      </w:pPr>
      <w:bookmarkStart w:name="_Toc12" w:id="12"/>
      <w:r>
        <w:rPr>
          <w:rFonts w:ascii="Calibri"/>
          <w:b/>
          <w:bCs/>
          <w:color w:val="0B2545"/>
          <w:sz w:val="28"/>
          <w:szCs w:val="28"/>
        </w:rPr>
        <w:t xml:space="preserve">2.8 Environmental Compliance and CIAPOL Capacity</w:t>
      </w:r>
      <w:bookmarkEnd w:id="12"/>
    </w:p>
    <w:p>
      <w:pPr>
        <w:spacing w:after="160" w:line="312"/>
        <w:ind w:firstLine="0"/>
        <w:jc w:val="both"/>
      </w:pPr>
      <w:r>
        <w:rPr>
          <w:rFonts w:ascii="Times New Roman"/>
          <w:color w:val="000000"/>
          <w:sz w:val="22"/>
          <w:szCs w:val="22"/>
        </w:rPr>
        <w:t xml:space="preserve">The Centre Ivoirien Anti-Pollution (CIAPOL), established by Decree No. 88-251 of 27 June 1988, is the principal environmental oversight body for the mining sector. CIAPOL's mandate covers the review of environmental and social impact assessments (ESIAs), the issuance of environmental compliance certificates, the monitoring of mining operations during the operational phase, and the enforcement of environmental sanctions. The principal gap is capacity: CIAPOL's staffing and technical resources are not commensurate with the scale of the mining sector's growth, with the result that ESIA reviews are conducted under time pressure, operational monitoring is largely reliant on operator self-reporting, and enforcement actions are infrequent. The 2024 Strategic Environmental Assessment of the Mining Sector, conducted with World Bank support, identified capacity as the principal constraint on effective environmental governance.</w:t>
      </w:r>
    </w:p>
    <w:p>
      <w:pPr>
        <w:spacing w:after="160" w:line="312"/>
        <w:ind w:firstLine="0"/>
        <w:jc w:val="both"/>
      </w:pPr>
      <w:r>
        <w:rPr>
          <w:rFonts w:ascii="Times New Roman"/>
          <w:color w:val="000000"/>
          <w:sz w:val="22"/>
          <w:szCs w:val="22"/>
        </w:rPr>
        <w:t xml:space="preserve">The remedy has both institutional and technological dimensions. Institutionally, CIAPOL's staffing should be expanded and its technical capacity built through training programmes supported by the World Bank, the African Development Bank and bilateral development partners. Technologically, CIAPOL should be equipped with satellite-based remote sensing and IoT sensor networks to enable independent monitoring of mining operations, reducing reliance on operator self-reporting. The technology options are detailed in Chapter 6.4. The combination of institutional strengthening and technological enablement is estimated to require an investment of USD 15–25 million over 3 years, with material benefits for environmental protection and for the credibility of the regulatory regime.</w:t>
      </w:r>
    </w:p>
    <w:p>
      <w:pPr>
        <w:pStyle w:val="Heading2"/>
        <w:spacing w:after="160" w:before="320" w:line="312"/>
      </w:pPr>
      <w:bookmarkStart w:name="_Toc13" w:id="13"/>
      <w:r>
        <w:rPr>
          <w:rFonts w:ascii="Calibri"/>
          <w:b/>
          <w:bCs/>
          <w:color w:val="0B2545"/>
          <w:sz w:val="28"/>
          <w:szCs w:val="28"/>
        </w:rPr>
        <w:t xml:space="preserve">2.9 Comparative Regulatory Gap Snapshot</w:t>
      </w:r>
      <w:bookmarkEnd w:id="13"/>
    </w:p>
    <w:p>
      <w:pPr>
        <w:spacing w:after="160" w:line="312"/>
        <w:ind w:firstLine="0"/>
        <w:jc w:val="both"/>
      </w:pPr>
      <w:r>
        <w:rPr>
          <w:rFonts w:ascii="Times New Roman"/>
          <w:color w:val="000000"/>
          <w:sz w:val="22"/>
          <w:szCs w:val="22"/>
        </w:rPr>
        <w:t xml:space="preserve">Table 1 below summarises the principal regulatory gaps identified in this chapter, with comparative reference to the position in Ghana, Mali, Burkina Faso and Guinea. The table is intended as a high-level summary; practitioners should consult the underlying regulatory instruments for detailed comparison.</w:t>
      </w:r>
    </w:p>
    <w:p>
      <w:pPr>
        <w:keepNext/>
        <w:spacing w:after="120" w:before="200"/>
        <w:jc w:val="left"/>
      </w:pPr>
      <w:r>
        <w:rPr>
          <w:rFonts w:ascii="Calibri"/>
          <w:b/>
          <w:bCs/>
          <w:i w:val="false"/>
          <w:iCs w:val="false"/>
          <w:color w:val="0B2545"/>
          <w:sz w:val="20"/>
          <w:szCs w:val="20"/>
        </w:rPr>
        <w:t xml:space="preserve">Table 1 — Comparative Regulatory Gap Snapshot (Côte d'Ivoire vs Peers, 2026)</w:t>
      </w:r>
    </w:p>
    <w:tbl>
      <w:tblPr>
        <w:tblW w:type="pct" w:w="5000"/>
        <w:tblBorders>
          <w:top w:val="single" w:color="C9A84C" w:sz="6"/>
          <w:left w:val="none"/>
          <w:bottom w:val="single" w:color="C9A84C" w:sz="6"/>
          <w:right w:val="none"/>
          <w:insideH w:val="single" w:color="DDD5C0" w:sz="2"/>
          <w:insideV w:val="none"/>
        </w:tblBorders>
        <w:tblLayout w:type="fixed"/>
      </w:tblPr>
      <w:tblGrid>
        <w:gridCol w:w="2285"/>
        <w:gridCol w:w="1582"/>
        <w:gridCol w:w="1230"/>
        <w:gridCol w:w="1230"/>
        <w:gridCol w:w="1230"/>
        <w:gridCol w:w="1230"/>
      </w:tblGrid>
      <w:tr>
        <w:trPr>
          <w:cantSplit/>
          <w:tblHeader/>
        </w:trPr>
        <w:tc>
          <w:tcPr>
            <w:tcW w:type="pct" w:w="1300"/>
            <w:shd w:fill="C9A84C" w:val="clear"/>
            <w:tcMar>
              <w:top w:type="dxa" w:w="80"/>
              <w:left w:type="dxa" w:w="100"/>
              <w:bottom w:type="dxa" w:w="80"/>
              <w:right w:type="dxa" w:w="100"/>
            </w:tcMar>
          </w:tcPr>
          <w:p>
            <w:pPr>
              <w:jc w:val="left"/>
            </w:pPr>
            <w:r>
              <w:rPr>
                <w:rFonts w:ascii="Calibri"/>
                <w:b/>
                <w:bCs/>
                <w:color w:val="1A1A1A"/>
                <w:sz w:val="20"/>
                <w:szCs w:val="20"/>
              </w:rPr>
              <w:t xml:space="preserve">Gap Area</w:t>
            </w:r>
          </w:p>
        </w:tc>
        <w:tc>
          <w:tcPr>
            <w:tcW w:type="pct" w:w="900"/>
            <w:shd w:fill="C9A84C" w:val="clear"/>
            <w:tcMar>
              <w:top w:type="dxa" w:w="80"/>
              <w:left w:type="dxa" w:w="100"/>
              <w:bottom w:type="dxa" w:w="80"/>
              <w:right w:type="dxa" w:w="100"/>
            </w:tcMar>
          </w:tcPr>
          <w:p>
            <w:pPr>
              <w:jc w:val="left"/>
            </w:pPr>
            <w:r>
              <w:rPr>
                <w:rFonts w:ascii="Calibri"/>
                <w:b/>
                <w:bCs/>
                <w:color w:val="1A1A1A"/>
                <w:sz w:val="20"/>
                <w:szCs w:val="20"/>
              </w:rPr>
              <w:t xml:space="preserve">Côte d'Ivoire</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Ghana</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Mali</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Burkina Faso</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Guinea</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Licensing backlog (months)</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6–18</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4 (post-2021)</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9–12</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6 (post-2014)</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12–18</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Digital cadastre system</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Planned (2025–2026)</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MinCom Online (2021)</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ANADER (2019)</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FlexiCadastre (2014)</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SIGG (2018)</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Stabilisation clause durability</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Moderate (amended 2018–23)</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Strong</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Weak (post-2023 amendments)</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Moderate</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Weak (post-2023)</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Local content enforcement</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Weak (capacity gap)</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Moderate (LI 2173)</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Strong (post-2023)</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Moderate</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Strong (post-2023)</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Beneficial ownership registry</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Operational (60% populated)</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Operational (2022)</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In development</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Operational (2021)</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Suspended</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Strategic minerals fiscal regime</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5% royalty (undifferentiated)</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5% (some)</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8% (post-2023)</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5%</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5–8%</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Mine closure bond methodology</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Negotiated (no standard)</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Standard (2018)</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Negotiated</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Standard (2019)</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Negotiated</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ASM formalisation rate</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20–30%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40–50%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30–40%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30–40%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20–30%</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EITI status</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Compliant (2013)</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Compliant (2010)</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Compliant (2011)</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Compliant (2013)</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Suspended (2022)</w:t>
            </w:r>
          </w:p>
        </w:tc>
      </w:tr>
    </w:tbl>
    <w:p>
      <w:pPr>
        <w:spacing w:after="240" w:before="80"/>
        <w:jc w:val="left"/>
      </w:pPr>
      <w:r>
        <w:rPr>
          <w:rFonts w:ascii="Times New Roman"/>
          <w:i/>
          <w:iCs/>
          <w:color w:val="606060"/>
          <w:sz w:val="18"/>
          <w:szCs w:val="18"/>
        </w:rPr>
        <w:t xml:space="preserve">Source: Authors' synthesis of national mining codes; African Mining Legislation Atlas (a-mla.org); EITI country pages; World Bank Extractive Industries Global Program; NRGI Resource Governance Index 2021.</w:t>
      </w:r>
    </w:p>
    <w:p>
      <w:pPr>
        <w:pStyle w:val="Heading1"/>
        <w:spacing w:after="240" w:before="480" w:line="360"/>
      </w:pPr>
      <w:bookmarkStart w:name="_Toc14" w:id="14"/>
      <w:r>
        <w:rPr>
          <w:rFonts w:ascii="Calibri"/>
          <w:b/>
          <w:bCs/>
          <w:color w:val="0B2545"/>
          <w:sz w:val="32"/>
          <w:szCs w:val="32"/>
        </w:rPr>
        <w:t xml:space="preserve">3. Infrastructure Gap Analysis</w:t>
      </w:r>
      <w:bookmarkEnd w:id="14"/>
    </w:p>
    <w:p>
      <w:pPr>
        <w:pStyle w:val="Heading2"/>
        <w:spacing w:after="160" w:before="320" w:line="312"/>
      </w:pPr>
      <w:bookmarkStart w:name="_Toc15" w:id="15"/>
      <w:r>
        <w:rPr>
          <w:rFonts w:ascii="Calibri"/>
          <w:b/>
          <w:bCs/>
          <w:color w:val="0B2545"/>
          <w:sz w:val="28"/>
          <w:szCs w:val="28"/>
        </w:rPr>
        <w:t xml:space="preserve">3.1 Rail Network Constraints</w:t>
      </w:r>
      <w:bookmarkEnd w:id="15"/>
    </w:p>
    <w:p>
      <w:pPr>
        <w:spacing w:after="160" w:line="312"/>
        <w:ind w:firstLine="0"/>
        <w:jc w:val="both"/>
      </w:pPr>
      <w:r>
        <w:rPr>
          <w:rFonts w:ascii="Times New Roman"/>
          <w:color w:val="000000"/>
          <w:sz w:val="22"/>
          <w:szCs w:val="22"/>
        </w:rPr>
        <w:t xml:space="preserve">Côte d'Ivoire's rail infrastructure is the single most material infrastructure constraint on the development of the country's bulk-mineral potential. The national rail network consists of a single 1,260-kilometre narrow-gauge (1,000 mm) line from Abidjan to Ouagadougou in Burkina Faso, operated under a concession agreement by Sitarail, a subsidiary of the Bolloré Logistics group (now CMA CGM). The line is single-track, with limited passing loops and signalling capacity, and is constrained in axle load to approximately 20 tonnes per axle. The line is primarily used for container traffic and bulk cement, with no significant mineral traffic beyond manganese ore trucked to Abidjan for export. The annual freight capacity is approximately 2.5 million tonnes, well below the 15–25 million tonnes per annum that would be required to support large-scale manganese and iron-ore exports.</w:t>
      </w:r>
    </w:p>
    <w:p>
      <w:pPr>
        <w:spacing w:after="160" w:line="312"/>
        <w:ind w:firstLine="0"/>
        <w:jc w:val="both"/>
      </w:pPr>
      <w:r>
        <w:rPr>
          <w:rFonts w:ascii="Times New Roman"/>
          <w:color w:val="000000"/>
          <w:sz w:val="22"/>
          <w:szCs w:val="22"/>
        </w:rPr>
        <w:t xml:space="preserve">The comparator position is significant. Guinea's Simandou iron-ore project, in development by the Rio Tinto-led Simfer Joint Venture and the Winning Consortium Simandou, involves the construction of approximately 670 kilometres of new standard-gauge railway from the Simandou range to the port of Morebaya, with capacity of 100 million tonnes per annum, at a cost of approximately USD 12–15 billion. Mauritania's SNIM iron-ore railway, the longest in Africa at 704 kilometres, carries approximately 12 million tonnes per annum of iron ore from the F'dérik mines to the port of Nouadhibou. Côte d'Ivoire's rail gap is therefore not unusual for a West African jurisdiction — but it does materially affect the economics of the Bondoukou manganese district, the Mount Nimba iron-ore deposits, and any future manganese or iron-ore project in the Biankouma region.</w:t>
      </w:r>
    </w:p>
    <w:p>
      <w:pPr>
        <w:spacing w:after="160" w:line="312"/>
        <w:ind w:firstLine="0"/>
        <w:jc w:val="both"/>
      </w:pPr>
      <w:r>
        <w:rPr>
          <w:rFonts w:ascii="Times New Roman"/>
          <w:color w:val="000000"/>
          <w:sz w:val="22"/>
          <w:szCs w:val="22"/>
        </w:rPr>
        <w:t xml:space="preserve">The government's 2024 announcement of the Abidjan–Ouagadougou rail extension — a project to upgrade and extend the existing line, transiting the Bondoukou manganese district, at an estimated cost of USD 4–6 billion — is the principal remedy. The project is being scoped by a French-Chinese consortium with support from the African Development Bank and the World Bank; final investment decision is targeted for 2027 with construction completed by 2032. The strategic implication for the mining sector is significant: the rail project, if realised, would unlock approximately 5–10 million tonnes per annum of additional manganese export capacity and would substantially lower the cost structure of any iron-ore development. Operators and investors in the manganese and iron-ore sub-sectors should monitor the project closely and engage with the government on the project's specification, particularly on the axle-load capacity and the mineral-terminal capacity at the Abidjan end.</w:t>
      </w:r>
    </w:p>
    <w:p>
      <w:pPr>
        <w:pStyle w:val="Heading2"/>
        <w:spacing w:after="160" w:before="320" w:line="312"/>
      </w:pPr>
      <w:bookmarkStart w:name="_Toc16" w:id="16"/>
      <w:r>
        <w:rPr>
          <w:rFonts w:ascii="Calibri"/>
          <w:b/>
          <w:bCs/>
          <w:color w:val="0B2545"/>
          <w:sz w:val="28"/>
          <w:szCs w:val="28"/>
        </w:rPr>
        <w:t xml:space="preserve">3.2 Port Capacity and Mineral-Terminal Infrastructure</w:t>
      </w:r>
      <w:bookmarkEnd w:id="16"/>
    </w:p>
    <w:p>
      <w:pPr>
        <w:spacing w:after="160" w:line="312"/>
        <w:ind w:firstLine="0"/>
        <w:jc w:val="both"/>
      </w:pPr>
      <w:r>
        <w:rPr>
          <w:rFonts w:ascii="Times New Roman"/>
          <w:color w:val="000000"/>
          <w:sz w:val="22"/>
          <w:szCs w:val="22"/>
        </w:rPr>
        <w:t xml:space="preserve">Côte d'Ivoire has two deep-water ports: Abidjan and San Pedro. The Port of Abidjan, the larger of the two, has a total bulk cargo handling capacity of approximately 30 million tonnes per annum, with dedicated mineral-bulk handling facilities at the Vridi terminal. The Port of San Pedro has a capacity of approximately 8 million tonnes per annum, with a cement and clinker terminal and a planned expansion to 15 million tonnes per annum by 2027 under the San Pedro Modernisation Programme. Both ports are operated by the Port Autonome d'Abidjan and the Port Autonome de San Pedro respectively, under the supervision of the Ministry of Transport.</w:t>
      </w:r>
    </w:p>
    <w:p>
      <w:pPr>
        <w:spacing w:after="160" w:line="312"/>
        <w:ind w:firstLine="0"/>
        <w:jc w:val="both"/>
      </w:pPr>
      <w:r>
        <w:rPr>
          <w:rFonts w:ascii="Times New Roman"/>
          <w:color w:val="000000"/>
          <w:sz w:val="22"/>
          <w:szCs w:val="22"/>
        </w:rPr>
        <w:t xml:space="preserve">The mineral-terminal capacity gap is material. The current dedicated mineral-bulk handling capacity at Abidjan is approximately 4–5 million tonnes per annum, against actual mineral exports of approximately 1.5–2.0 million tonnes (mostly manganese and gold concentrates). The gap is not immediate but will become material as the Lafigué, Koné and other gold projects ramp up and as the proposed alumina refinery at San Pedro comes onstream. The Port of San Pedro's expansion programme includes a dedicated alumina and bauxite terminal with capacity of approximately 10 million tonnes per annum, scheduled for completion in 2027. Comparator jurisdictions: Ghana's Takoradi port (Tema and Takoradi together handle approximately 35 million tonnes of bulk cargo per annum); Guinea's port of Conakry handles approximately 30 million tonnes of bulk cargo per annum, dominated by bauxite exports.</w:t>
      </w:r>
    </w:p>
    <w:p>
      <w:pPr>
        <w:spacing w:after="160" w:line="312"/>
        <w:ind w:firstLine="0"/>
        <w:jc w:val="both"/>
      </w:pPr>
      <w:r>
        <w:rPr>
          <w:rFonts w:ascii="Times New Roman"/>
          <w:color w:val="000000"/>
          <w:sz w:val="22"/>
          <w:szCs w:val="22"/>
        </w:rPr>
        <w:t xml:space="preserve">The strategic implication for the mining sector is that the port infrastructure requires anticipatory investment — i.e., investment ahead of immediate demand — to avoid becoming a constraint on the sector's growth. The Port of San Pedro expansion programme is the right strategic direction; the implementation challenge is execution. The proposed alumina refinery at San Pedro, if realised, would be the principal single driver of port expansion, with implications for the port's mineral-terminal capacity, logistics chain, and labour requirements. Operators in the western mining regions should engage with the San Pedro expansion programme to ensure that the port's specification accommodates future mineral exports from the Worodougou, Bafing and Cavally regions.</w:t>
      </w:r>
    </w:p>
    <w:p>
      <w:pPr>
        <w:pStyle w:val="Heading2"/>
        <w:spacing w:after="160" w:before="320" w:line="312"/>
      </w:pPr>
      <w:bookmarkStart w:name="_Toc17" w:id="17"/>
      <w:r>
        <w:rPr>
          <w:rFonts w:ascii="Calibri"/>
          <w:b/>
          <w:bCs/>
          <w:color w:val="0B2545"/>
          <w:sz w:val="28"/>
          <w:szCs w:val="28"/>
        </w:rPr>
        <w:t xml:space="preserve">3.3 Power Grid Reliability and Renewables</w:t>
      </w:r>
      <w:bookmarkEnd w:id="17"/>
    </w:p>
    <w:p>
      <w:pPr>
        <w:spacing w:after="160" w:line="312"/>
        <w:ind w:firstLine="0"/>
        <w:jc w:val="both"/>
      </w:pPr>
      <w:r>
        <w:rPr>
          <w:rFonts w:ascii="Times New Roman"/>
          <w:color w:val="000000"/>
          <w:sz w:val="22"/>
          <w:szCs w:val="22"/>
        </w:rPr>
        <w:t xml:space="preserve">Côte d'Ivoire's national power generation capacity is approximately 2,200 megawatts, dominated by gas-fired thermal generation (approximately 60% of capacity) and hydroelectric generation (approximately 30%). The country is a net exporter of electricity within the West African Power Pool, exporting to Ghana, Burkina Faso and Mali. The mining sector consumes approximately 80–120 megawatts, concentrated at the Ity, Yaouré, Sissingué, Séguéla and Abujar operations. The principal gap is the reliability of supply in the western mining regions, where the grid is less robust than in the Abidjan corridor and where voltage fluctuations and outages have affected mining operations.</w:t>
      </w:r>
    </w:p>
    <w:p>
      <w:pPr>
        <w:spacing w:after="160" w:line="312"/>
        <w:ind w:firstLine="0"/>
        <w:jc w:val="both"/>
      </w:pPr>
      <w:r>
        <w:rPr>
          <w:rFonts w:ascii="Times New Roman"/>
          <w:color w:val="000000"/>
          <w:sz w:val="22"/>
          <w:szCs w:val="22"/>
        </w:rPr>
        <w:t xml:space="preserve">The comparator position: Ghana's national generation capacity is approximately 4,800 megawatts, with mining consumption of approximately 200–300 megawatts and generally reliable grid supply. Mali's national generation capacity is approximately 800 megawatts, with mining consumption of approximately 100–150 megawatts and significant diesel-fired back-up capacity at mine sites. Burkina Faso's national generation capacity is approximately 500 megawatts, with mining consumption of approximately 80–120 megawatts and heavy reliance on diesel and heavy fuel oil generation. Côte d'Ivoire's power position is therefore relatively strong, but the western mining region requires grid reinforcement to match the reliability of the Abidjan corridor.</w:t>
      </w:r>
    </w:p>
    <w:p>
      <w:pPr>
        <w:spacing w:after="160" w:line="312"/>
        <w:ind w:firstLine="0"/>
        <w:jc w:val="both"/>
      </w:pPr>
      <w:r>
        <w:rPr>
          <w:rFonts w:ascii="Times New Roman"/>
          <w:color w:val="000000"/>
          <w:sz w:val="22"/>
          <w:szCs w:val="22"/>
        </w:rPr>
        <w:t xml:space="preserve">The opportunity for renewable energy in the mining sector is significant. The solar irradiation potential in northern Côte d'Ivoire is among the highest in West Africa, with photovoltaic potential of approximately 4.5–5.0 kWh/m²/day, and several mining companies (including Endeavour Mining and Perseus Mining) have publicly committed to net-zero targets that will require solar and wind capacity. The government's 2024 announcement of a 100-megawatt solar project at Boundiali, in the northern mining region, is a positive step; the project is being developed by the Compagnie Ivoirienne d'Électricité (CIE) with financing from the International Finance Corporation. The mining sector's transition to renewable energy — through power purchase agreements with the CIE or through direct investment in mine-site solar capacity — will reduce operating costs, reduce carbon emissions, and contribute to the country's nationally determined contribution under the Paris Agreement.</w:t>
      </w:r>
    </w:p>
    <w:p>
      <w:pPr>
        <w:pStyle w:val="Heading2"/>
        <w:spacing w:after="160" w:before="320" w:line="312"/>
      </w:pPr>
      <w:bookmarkStart w:name="_Toc18" w:id="18"/>
      <w:r>
        <w:rPr>
          <w:rFonts w:ascii="Calibri"/>
          <w:b/>
          <w:bCs/>
          <w:color w:val="0B2545"/>
          <w:sz w:val="28"/>
          <w:szCs w:val="28"/>
        </w:rPr>
        <w:t xml:space="preserve">3.4 Water Resource Management</w:t>
      </w:r>
      <w:bookmarkEnd w:id="18"/>
    </w:p>
    <w:p>
      <w:pPr>
        <w:spacing w:after="160" w:line="312"/>
        <w:ind w:firstLine="0"/>
        <w:jc w:val="both"/>
      </w:pPr>
      <w:r>
        <w:rPr>
          <w:rFonts w:ascii="Times New Roman"/>
          <w:color w:val="000000"/>
          <w:sz w:val="22"/>
          <w:szCs w:val="22"/>
        </w:rPr>
        <w:t xml:space="preserve">Water resource management is an emerging constraint on the mining sector, particularly in the northern and central mining regions where dry-season water scarcity is increasing. The Ity, Sissingué and Séguéla operations are all in regions with seasonal water stress, and the Koné and Lafigué projects will require careful water management planning. The principal gaps are: (i) the absence of a national water resource assessment for the mining regions, with the result that mine water licences are issued without a robust understanding of cumulative water demand; (ii) the absence of a regulatory framework for mine water discharge quality, with the current framework relying on operator self-reporting; and (iii) the absence of a water management plan for the dry-season periods when water availability is most constrained.</w:t>
      </w:r>
    </w:p>
    <w:p>
      <w:pPr>
        <w:spacing w:after="160" w:line="312"/>
        <w:ind w:firstLine="0"/>
        <w:jc w:val="both"/>
      </w:pPr>
      <w:r>
        <w:rPr>
          <w:rFonts w:ascii="Times New Roman"/>
          <w:color w:val="000000"/>
          <w:sz w:val="22"/>
          <w:szCs w:val="22"/>
        </w:rPr>
        <w:t xml:space="preserve">The remedy is the development, under the Ministry of Water and Forests (MINEF) in coordination with the Ministry of Mines, of a national water resource assessment for the mining regions, supported by a digital water monitoring system covering the principal mining areas. The digital monitoring system should integrate ground-based IoT water-level and water-quality sensors with satellite-based evapotranspiration and soil-moisture data, providing a near-real-time picture of water availability and use. This system, estimated to cost USD 4–6 million over 2 years, would provide the basis for evidence-based water licensing and would reduce the risk of dry-season operational disruption at the mines. The system should be integrated with CIAPOL's environmental monitoring platform (Chapter 6.4) to provide a single source of truth on water resources.</w:t>
      </w:r>
    </w:p>
    <w:p>
      <w:pPr>
        <w:pStyle w:val="Heading2"/>
        <w:spacing w:after="160" w:before="320" w:line="312"/>
      </w:pPr>
      <w:bookmarkStart w:name="_Toc19" w:id="19"/>
      <w:r>
        <w:rPr>
          <w:rFonts w:ascii="Calibri"/>
          <w:b/>
          <w:bCs/>
          <w:color w:val="0B2545"/>
          <w:sz w:val="28"/>
          <w:szCs w:val="28"/>
        </w:rPr>
        <w:t xml:space="preserve">3.5 Road Network and Secondary Roads</w:t>
      </w:r>
      <w:bookmarkEnd w:id="19"/>
    </w:p>
    <w:p>
      <w:pPr>
        <w:spacing w:after="160" w:line="312"/>
        <w:ind w:firstLine="0"/>
        <w:jc w:val="both"/>
      </w:pPr>
      <w:r>
        <w:rPr>
          <w:rFonts w:ascii="Times New Roman"/>
          <w:color w:val="000000"/>
          <w:sz w:val="22"/>
          <w:szCs w:val="22"/>
        </w:rPr>
        <w:t xml:space="preserve">The road network connecting the principal mining regions to the ports is generally in good condition, with the Abidjan–Yamoussoukro–Bouaké–Ferkéssédougou axis forming a north–south corridor of international standard. The principal gap is the secondary road network in the western and northern mining regions — particularly in the Bafing, Tchologo and Worodougou regions — where road conditions are variable and where dry-season dust and wet-season mud affect both operations and community relations. The estimated investment required to bring the secondary road network in the mining regions to international standard is approximately USD 600–900 million over 5 years, with potential for partial financing through the Mining Code's host-region development fund (which allocates 20% of mining royalties to host-region development).</w:t>
      </w:r>
    </w:p>
    <w:p>
      <w:pPr>
        <w:spacing w:after="160" w:line="312"/>
        <w:ind w:firstLine="0"/>
        <w:jc w:val="both"/>
      </w:pPr>
      <w:r>
        <w:rPr>
          <w:rFonts w:ascii="Times New Roman"/>
          <w:color w:val="000000"/>
          <w:sz w:val="22"/>
          <w:szCs w:val="22"/>
        </w:rPr>
        <w:t xml:space="preserve">Comparator experience: Ghana's mining roads programme, financed through the Minerals Development Fund, has demonstrated that targeted investment in mining-region roads delivers both operational benefits (lower transport costs) and community benefits (improved access to markets, schools and healthcare). Burkina Faso's Programme National de Gestion des Routes, supported by the World Bank, has applied a similar model. Côte d'Ivoire's Ministry of Equipment and Road Maintenance (MEERH) is responsible for the secondary road network; the integration of mining-region road investment into the Ministry's multi-year programme, with partial financing from mining-sector revenue, is the recommended approach.</w:t>
      </w:r>
    </w:p>
    <w:p>
      <w:pPr>
        <w:pStyle w:val="Heading2"/>
        <w:spacing w:after="160" w:before="320" w:line="312"/>
      </w:pPr>
      <w:bookmarkStart w:name="_Toc20" w:id="20"/>
      <w:r>
        <w:rPr>
          <w:rFonts w:ascii="Calibri"/>
          <w:b/>
          <w:bCs/>
          <w:color w:val="0B2545"/>
          <w:sz w:val="28"/>
          <w:szCs w:val="28"/>
        </w:rPr>
        <w:t xml:space="preserve">3.6 Digital Infrastructure</w:t>
      </w:r>
      <w:bookmarkEnd w:id="20"/>
    </w:p>
    <w:p>
      <w:pPr>
        <w:spacing w:after="160" w:line="312"/>
        <w:ind w:firstLine="0"/>
        <w:jc w:val="both"/>
      </w:pPr>
      <w:r>
        <w:rPr>
          <w:rFonts w:ascii="Times New Roman"/>
          <w:color w:val="000000"/>
          <w:sz w:val="22"/>
          <w:szCs w:val="22"/>
        </w:rPr>
        <w:t xml:space="preserve">The digital infrastructure supporting the proposed digital solutions in Chapter 6 is incomplete relative to comparator jurisdictions. The national fibre optic backbone, operated by the Côte d'Ivoire Telecom (CI-Telecom) and Orange Côte d'Ivoire, covers the major urban centres and the Abidjan–Yamoussoukro–Bouaké–Korhogo corridor, with secondary coverage in the mining regions. Mobile penetration is approximately 95% in urban areas and 60–70% in rural areas, with 4G coverage in most mining regions. The principal gaps are: (i) the absence of mobile money payment infrastructure in many ASM areas, limiting the formalisation of ASM gold transactions; (ii) the limited data-centre capacity in Côte d'Ivoire, with the result that mining-sector data is hosted in data centres in Europe or South Africa; and (iii) the absence of a national spatial data infrastructure (NSDI) integrating geological, environmental, cadastral and social data.</w:t>
      </w:r>
    </w:p>
    <w:p>
      <w:pPr>
        <w:spacing w:after="160" w:line="312"/>
        <w:ind w:firstLine="0"/>
        <w:jc w:val="both"/>
      </w:pPr>
      <w:r>
        <w:rPr>
          <w:rFonts w:ascii="Times New Roman"/>
          <w:color w:val="000000"/>
          <w:sz w:val="22"/>
          <w:szCs w:val="22"/>
        </w:rPr>
        <w:t xml:space="preserve">The remedy is the development, under the Agence Nationale des TIC (ANTIC), of a national spatial data infrastructure (NSDI) integrating the cadastral, geological, environmental and social data layers required for effective mining-sector governance. The NSDI should be cloud-hosted, with data residency in Côte d'Ivoire (subject to the development of national data-centre capacity, expected by 2027 with the completion of the Abidjan Data Center project). The NSDI would provide the platform for the digital cadastre system, the environmental monitoring system, the geodata management system, and the community engagement platform recommended in Chapter 6. The total investment is estimated at USD 8–12 million over 3 years, with material benefits for regulatory efficiency and for the integration of mining-sector governance.</w:t>
      </w:r>
    </w:p>
    <w:p>
      <w:pPr>
        <w:pStyle w:val="Heading2"/>
        <w:spacing w:after="160" w:before="320" w:line="312"/>
      </w:pPr>
      <w:bookmarkStart w:name="_Toc21" w:id="21"/>
      <w:r>
        <w:rPr>
          <w:rFonts w:ascii="Calibri"/>
          <w:b/>
          <w:bCs/>
          <w:color w:val="0B2545"/>
          <w:sz w:val="28"/>
          <w:szCs w:val="28"/>
        </w:rPr>
        <w:t xml:space="preserve">3.7 Comparative Infrastructure Snapshot</w:t>
      </w:r>
      <w:bookmarkEnd w:id="21"/>
    </w:p>
    <w:p>
      <w:pPr>
        <w:keepNext/>
        <w:spacing w:after="120" w:before="200"/>
        <w:jc w:val="left"/>
      </w:pPr>
      <w:r>
        <w:rPr>
          <w:rFonts w:ascii="Calibri"/>
          <w:b/>
          <w:bCs/>
          <w:i w:val="false"/>
          <w:iCs w:val="false"/>
          <w:color w:val="0B2545"/>
          <w:sz w:val="20"/>
          <w:szCs w:val="20"/>
        </w:rPr>
        <w:t xml:space="preserve">Table 2 — Comparative Infrastructure Snapshot (Côte d'Ivoire vs Peers)</w:t>
      </w:r>
    </w:p>
    <w:tbl>
      <w:tblPr>
        <w:tblW w:type="pct" w:w="5000"/>
        <w:tblBorders>
          <w:top w:val="single" w:color="C9A84C" w:sz="6"/>
          <w:left w:val="none"/>
          <w:bottom w:val="single" w:color="C9A84C" w:sz="6"/>
          <w:right w:val="none"/>
          <w:insideH w:val="single" w:color="DDD5C0" w:sz="2"/>
          <w:insideV w:val="none"/>
        </w:tblBorders>
        <w:tblLayout w:type="fixed"/>
      </w:tblPr>
      <w:tblGrid>
        <w:gridCol w:w="2285"/>
        <w:gridCol w:w="1582"/>
        <w:gridCol w:w="1230"/>
        <w:gridCol w:w="1230"/>
        <w:gridCol w:w="1230"/>
        <w:gridCol w:w="1230"/>
      </w:tblGrid>
      <w:tr>
        <w:trPr>
          <w:cantSplit/>
          <w:tblHeader/>
        </w:trPr>
        <w:tc>
          <w:tcPr>
            <w:tcW w:type="pct" w:w="1300"/>
            <w:shd w:fill="C9A84C" w:val="clear"/>
            <w:tcMar>
              <w:top w:type="dxa" w:w="80"/>
              <w:left w:type="dxa" w:w="100"/>
              <w:bottom w:type="dxa" w:w="80"/>
              <w:right w:type="dxa" w:w="100"/>
            </w:tcMar>
          </w:tcPr>
          <w:p>
            <w:pPr>
              <w:jc w:val="left"/>
            </w:pPr>
            <w:r>
              <w:rPr>
                <w:rFonts w:ascii="Calibri"/>
                <w:b/>
                <w:bCs/>
                <w:color w:val="1A1A1A"/>
                <w:sz w:val="20"/>
                <w:szCs w:val="20"/>
              </w:rPr>
              <w:t xml:space="preserve">Indicator</w:t>
            </w:r>
          </w:p>
        </w:tc>
        <w:tc>
          <w:tcPr>
            <w:tcW w:type="pct" w:w="900"/>
            <w:shd w:fill="C9A84C" w:val="clear"/>
            <w:tcMar>
              <w:top w:type="dxa" w:w="80"/>
              <w:left w:type="dxa" w:w="100"/>
              <w:bottom w:type="dxa" w:w="80"/>
              <w:right w:type="dxa" w:w="100"/>
            </w:tcMar>
          </w:tcPr>
          <w:p>
            <w:pPr>
              <w:jc w:val="left"/>
            </w:pPr>
            <w:r>
              <w:rPr>
                <w:rFonts w:ascii="Calibri"/>
                <w:b/>
                <w:bCs/>
                <w:color w:val="1A1A1A"/>
                <w:sz w:val="20"/>
                <w:szCs w:val="20"/>
              </w:rPr>
              <w:t xml:space="preserve">Côte d'Ivoire</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Ghana</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Mali</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Burkina Faso</w:t>
            </w:r>
          </w:p>
        </w:tc>
        <w:tc>
          <w:tcPr>
            <w:tcW w:type="pct" w:w="700"/>
            <w:shd w:fill="C9A84C" w:val="clear"/>
            <w:tcMar>
              <w:top w:type="dxa" w:w="80"/>
              <w:left w:type="dxa" w:w="100"/>
              <w:bottom w:type="dxa" w:w="80"/>
              <w:right w:type="dxa" w:w="100"/>
            </w:tcMar>
          </w:tcPr>
          <w:p>
            <w:pPr>
              <w:jc w:val="left"/>
            </w:pPr>
            <w:r>
              <w:rPr>
                <w:rFonts w:ascii="Calibri"/>
                <w:b/>
                <w:bCs/>
                <w:color w:val="1A1A1A"/>
                <w:sz w:val="20"/>
                <w:szCs w:val="20"/>
              </w:rPr>
              <w:t xml:space="preserve">Guinea</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Rail network (km)</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1,260 (narrow-gauge)</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950 (mostly narrow)</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0 (no rail)</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622 (Abidjan-Ouaga share)</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1,050 (Simandou planned)</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Main port capacity (Mtpa)</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30 (Abidjan) + 8 (San Pedro)</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35 (Tema+Takoradi)</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0 (landlocked)</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0 (landlocked)</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30 (Conakry)</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Mineral-bulk terminal (Mtpa)</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4–5 (expanding)</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8</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0</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0</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20 (CBG)</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National generation capacity (MW)</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2,200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4,800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800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500</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1,500</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Mining-sector power reliability</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Moderate (west weaker)</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High</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Moderate</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Low (diesel-heavy)</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Moderate</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Mining-region road quality</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Good (main); variable (secondary)</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Good</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Variable</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Variable</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Variable</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Fibre backbone coverage</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Main corridors; limited rural</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Strong</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Limited</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Limited</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Limited</w:t>
            </w:r>
          </w:p>
        </w:tc>
      </w:tr>
      <w:tr>
        <w:trPr>
          <w:cantSplit/>
        </w:trPr>
        <w:tc>
          <w:tcPr>
            <w:tcW w:type="pct" w:w="13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Data centre capacity</w:t>
            </w:r>
          </w:p>
        </w:tc>
        <w:tc>
          <w:tcPr>
            <w:tcW w:type="pct" w:w="9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Limited (1 main facility)</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3 facilities</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1 facility</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1 facility</w:t>
            </w:r>
          </w:p>
        </w:tc>
        <w:tc>
          <w:tcPr>
            <w:tcW w:type="pct" w:w="700"/>
            <w:shd w:fill="F5F2E8" w:val="clear"/>
            <w:tcMar>
              <w:top w:type="dxa" w:w="80"/>
              <w:left w:type="dxa" w:w="100"/>
              <w:bottom w:type="dxa" w:w="80"/>
              <w:right w:type="dxa" w:w="100"/>
            </w:tcMar>
          </w:tcPr>
          <w:p>
            <w:pPr>
              <w:spacing w:line="312"/>
              <w:jc w:val="left"/>
            </w:pPr>
            <w:r>
              <w:rPr>
                <w:rFonts w:ascii="Times New Roman"/>
                <w:color w:val="000000"/>
                <w:sz w:val="20"/>
                <w:szCs w:val="20"/>
              </w:rPr>
              <w:t xml:space="preserve">1 facility</w:t>
            </w:r>
          </w:p>
        </w:tc>
      </w:tr>
      <w:tr>
        <w:trPr>
          <w:cantSplit/>
        </w:trPr>
        <w:tc>
          <w:tcPr>
            <w:tcW w:type="pct" w:w="13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National Spatial Data Infrastructure</w:t>
            </w:r>
          </w:p>
        </w:tc>
        <w:tc>
          <w:tcPr>
            <w:tcW w:type="pct" w:w="9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In development</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Operational (2020)</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Limited</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Limited</w:t>
            </w:r>
          </w:p>
        </w:tc>
        <w:tc>
          <w:tcPr>
            <w:tcW w:type="pct" w:w="700"/>
            <w:shd w:fill="FFFFFF" w:val="clear"/>
            <w:tcMar>
              <w:top w:type="dxa" w:w="80"/>
              <w:left w:type="dxa" w:w="100"/>
              <w:bottom w:type="dxa" w:w="80"/>
              <w:right w:type="dxa" w:w="100"/>
            </w:tcMar>
          </w:tcPr>
          <w:p>
            <w:pPr>
              <w:spacing w:line="312"/>
              <w:jc w:val="left"/>
            </w:pPr>
            <w:r>
              <w:rPr>
                <w:rFonts w:ascii="Times New Roman"/>
                <w:color w:val="000000"/>
                <w:sz w:val="20"/>
                <w:szCs w:val="20"/>
              </w:rPr>
              <w:t xml:space="preserve">Limited</w:t>
            </w:r>
          </w:p>
        </w:tc>
      </w:tr>
    </w:tbl>
    <w:p>
      <w:pPr>
        <w:spacing w:after="240" w:before="80"/>
        <w:jc w:val="left"/>
      </w:pPr>
      <w:r>
        <w:rPr>
          <w:rFonts w:ascii="Times New Roman"/>
          <w:i/>
          <w:iCs/>
          <w:color w:val="606060"/>
          <w:sz w:val="18"/>
          <w:szCs w:val="18"/>
        </w:rPr>
        <w:t xml:space="preserve">Source: World Bank Country Infrastructure Assessments; AfDB African Natural Resources Outlook; national port and rail authority data.</w:t>
      </w:r>
    </w:p>
    <w:p>
      <w:pPr>
        <w:pStyle w:val="Heading1"/>
        <w:spacing w:after="240" w:before="480" w:line="360"/>
      </w:pPr>
      <w:bookmarkStart w:name="_Toc22" w:id="22"/>
      <w:r>
        <w:rPr>
          <w:rFonts w:ascii="Calibri"/>
          <w:b/>
          <w:bCs/>
          <w:color w:val="0B2545"/>
          <w:sz w:val="32"/>
          <w:szCs w:val="32"/>
        </w:rPr>
        <w:t xml:space="preserve">4. Risk Assessment</w:t>
      </w:r>
      <w:bookmarkEnd w:id="22"/>
    </w:p>
    <w:p>
      <w:pPr>
        <w:pStyle w:val="Heading2"/>
        <w:spacing w:after="160" w:before="320" w:line="312"/>
      </w:pPr>
      <w:bookmarkStart w:name="_Toc23" w:id="23"/>
      <w:r>
        <w:rPr>
          <w:rFonts w:ascii="Calibri"/>
          <w:b/>
          <w:bCs/>
          <w:color w:val="0B2545"/>
          <w:sz w:val="28"/>
          <w:szCs w:val="28"/>
        </w:rPr>
        <w:t xml:space="preserve">4.1 Political and Policy Risk</w:t>
      </w:r>
      <w:bookmarkEnd w:id="23"/>
    </w:p>
    <w:p>
      <w:pPr>
        <w:spacing w:after="160" w:line="312"/>
        <w:ind w:firstLine="0"/>
        <w:jc w:val="both"/>
      </w:pPr>
      <w:r>
        <w:rPr>
          <w:rFonts w:ascii="Times New Roman"/>
          <w:color w:val="000000"/>
          <w:sz w:val="22"/>
          <w:szCs w:val="22"/>
        </w:rPr>
        <w:t xml:space="preserve">Côte d'Ivoire's political environment has been broadly stable since the end of the post-electoral crisis in 2011, under the constitutionally-elected administration of President Alassane Ouattara. The 2015 and 2020 presidential elections were conducted peacefully, and the country has maintained a strong record of constitutional governance and policy continuity. The principal political risk facing the mining sector is the medium-term electoral cycle: the next presidential election is scheduled for 2025 (later delayed to 2026 or 2027 depending on the constitutional revision timeline) and the subsequent electoral cycle in 2030. The risk is not of regime change but of policy recalibration under a successor administration, particularly in respect of the fiscal regime and the local content regime.</w:t>
      </w:r>
    </w:p>
    <w:p>
      <w:pPr>
        <w:spacing w:after="160" w:line="312"/>
        <w:ind w:firstLine="0"/>
        <w:jc w:val="both"/>
      </w:pPr>
      <w:r>
        <w:rPr>
          <w:rFonts w:ascii="Times New Roman"/>
          <w:color w:val="000000"/>
          <w:sz w:val="22"/>
          <w:szCs w:val="22"/>
        </w:rPr>
        <w:t xml:space="preserve">The mitigation factors are significant. The 2014 Mining Code, as amended, has been implemented consistently across the post-2011 administrations, and the principal operators (Endeavour, Perseus, Fortuna) have built stable relationships with the relevant ministries and with SODEMI. The country's participation in the EITI and in the Minerals Security Partnership provides external anchors of policy consistency. From a policy and legal perspective, the principal risk-management tools are the stabilisation clause in mining conventions (with its limitations discussed in Chapter 2.2), the engagement of international arbitration under the ICSID Convention and the OHADA Uniform Act on Arbitration, and the maintenance of open and constructive engagement with the government and with industry associations (the Fédération des Professionnels du Secteur Minier de Côte d'Ivoire, FP-SMCI).</w:t>
      </w:r>
    </w:p>
    <w:p>
      <w:pPr>
        <w:pStyle w:val="Heading2"/>
        <w:spacing w:after="160" w:before="320" w:line="312"/>
      </w:pPr>
      <w:bookmarkStart w:name="_Toc24" w:id="24"/>
      <w:r>
        <w:rPr>
          <w:rFonts w:ascii="Calibri"/>
          <w:b/>
          <w:bCs/>
          <w:color w:val="0B2545"/>
          <w:sz w:val="28"/>
          <w:szCs w:val="28"/>
        </w:rPr>
        <w:t xml:space="preserve">4.2 Fiscal Risk</w:t>
      </w:r>
      <w:bookmarkEnd w:id="24"/>
    </w:p>
    <w:p>
      <w:pPr>
        <w:spacing w:after="160" w:line="312"/>
        <w:ind w:firstLine="0"/>
        <w:jc w:val="both"/>
      </w:pPr>
      <w:r>
        <w:rPr>
          <w:rFonts w:ascii="Times New Roman"/>
          <w:color w:val="000000"/>
          <w:sz w:val="22"/>
          <w:szCs w:val="22"/>
        </w:rPr>
        <w:t xml:space="preserve">The fiscal risk facing the mining sector has both revenue and policy dimensions. On the revenue side, government revenue from the mining sector is concentrated in royalties and corporate income tax, both of which are sensitive to the gold price. A USD 200 per ounce decline in the gold price — a not-uncommon annual movement — would reduce government revenue by approximately USD 60–80 million (representing approximately 20–25% of total mining-sector revenue). The volatility is amplified by the time lag between price declines and operator cost adjustments. On the policy side, the principal risk is of further amendments to the Mining Code, particularly in response to a gold price downturn (when the government may seek to increase the fiscal take) or in response to the development of the strategic-minerals sub-sector (when the government may introduce differentiated fiscal terms).</w:t>
      </w:r>
    </w:p>
    <w:p>
      <w:pPr>
        <w:spacing w:after="160" w:line="312"/>
        <w:ind w:firstLine="0"/>
        <w:jc w:val="both"/>
      </w:pPr>
      <w:r>
        <w:rPr>
          <w:rFonts w:ascii="Times New Roman"/>
          <w:color w:val="000000"/>
          <w:sz w:val="22"/>
          <w:szCs w:val="22"/>
        </w:rPr>
        <w:t xml:space="preserve">The mitigation factors are the stabilisation clause and the consultative approach that has characterised mining-sector policy development under the post-2011 administrations. The government has engaged with industry on the local content regime and on the strategic-mineral classification, and the 2023 Decree on local content implementation reflected industry input. The principal fiscal risk-management strategy for operators is to maintain diversified asset portfolios (so that country-specific fiscal risk is not concentrated), to engage actively in policy consultations, and to structure investments to allow for the possibility of fiscal changes over the medium term. From a government perspective, the principal fiscal risk-management strategy is to build fiscal buffers during periods of high gold prices and to maintain a consultative approach to any future code amendments.</w:t>
      </w:r>
    </w:p>
    <w:p>
      <w:pPr>
        <w:pStyle w:val="Heading2"/>
        <w:spacing w:after="160" w:before="320" w:line="312"/>
      </w:pPr>
      <w:bookmarkStart w:name="_Toc25" w:id="25"/>
      <w:r>
        <w:rPr>
          <w:rFonts w:ascii="Calibri"/>
          <w:b/>
          <w:bCs/>
          <w:color w:val="0B2545"/>
          <w:sz w:val="28"/>
          <w:szCs w:val="28"/>
        </w:rPr>
        <w:t xml:space="preserve">4.3 Security Risk</w:t>
      </w:r>
      <w:bookmarkEnd w:id="25"/>
    </w:p>
    <w:p>
      <w:pPr>
        <w:spacing w:after="160" w:line="312"/>
        <w:ind w:firstLine="0"/>
        <w:jc w:val="both"/>
      </w:pPr>
      <w:r>
        <w:rPr>
          <w:rFonts w:ascii="Times New Roman"/>
          <w:color w:val="000000"/>
          <w:sz w:val="22"/>
          <w:szCs w:val="22"/>
        </w:rPr>
        <w:t xml:space="preserve">Côte d'Ivoire's security environment is broadly favourable relative to the Sahelian neighbours (Mali, Burkina Faso, Niger), but is not without risk. The principal security risks are: (i) terrorism spillover from the Sahel, particularly in the northern border regions with Mali and Burkina Faso, where a 2021 attack on the Ivorian military post at Kafolo demonstrated the risk; (ii) cross-border instability from Liberia, particularly in the Cavally region where the Ity mine is located; (iii) ASM-related violence, particularly in the western and northern mining regions where disputes over mining rights have occasionally escalated; and (iv) general criminality, including the theft of gold and mining equipment. The government has invested significantly in security sector capacity since 2011, including the establishment of the Compagnie Républicaine de Sécurité (CRS) and the expansion of the Ivorian military presence in the northern border regions.</w:t>
      </w:r>
    </w:p>
    <w:p>
      <w:pPr>
        <w:spacing w:after="160" w:line="312"/>
        <w:ind w:firstLine="0"/>
        <w:jc w:val="both"/>
      </w:pPr>
      <w:r>
        <w:rPr>
          <w:rFonts w:ascii="Times New Roman"/>
          <w:color w:val="000000"/>
          <w:sz w:val="22"/>
          <w:szCs w:val="22"/>
        </w:rPr>
        <w:t xml:space="preserve">From a mining-sector perspective, the security risk is managed through a combination of operator-level security arrangements (site security perimeters, access controls, security personnel), community engagement (which is the most effective long-term security strategy), and government security cooperation (including the deployment of government security forces to high-risk areas). The principal legal and compliance consideration is the Voluntary Principles on Security and Human Rights, which provide a framework for the management of security arrangements at extractive-sector operations; Côte d'Ivoire is not a participant in the Voluntary Principles initiative, but the principal operators have adopted the principles voluntarily. Operators should also ensure that security arrangements comply with the OECD Due Diligence Guidance for Responsible Supply Chains of Minerals from Conflict-Affected and High-Risk Areas.</w:t>
      </w:r>
    </w:p>
    <w:p>
      <w:pPr>
        <w:pStyle w:val="Heading2"/>
        <w:spacing w:after="160" w:before="320" w:line="312"/>
      </w:pPr>
      <w:bookmarkStart w:name="_Toc26" w:id="26"/>
      <w:r>
        <w:rPr>
          <w:rFonts w:ascii="Calibri"/>
          <w:b/>
          <w:bCs/>
          <w:color w:val="0B2545"/>
          <w:sz w:val="28"/>
          <w:szCs w:val="28"/>
        </w:rPr>
        <w:t xml:space="preserve">4.4 Operational Risk</w:t>
      </w:r>
      <w:bookmarkEnd w:id="26"/>
    </w:p>
    <w:p>
      <w:pPr>
        <w:spacing w:after="160" w:line="312"/>
        <w:ind w:firstLine="0"/>
        <w:jc w:val="both"/>
      </w:pPr>
      <w:r>
        <w:rPr>
          <w:rFonts w:ascii="Times New Roman"/>
          <w:color w:val="000000"/>
          <w:sz w:val="22"/>
          <w:szCs w:val="22"/>
        </w:rPr>
        <w:t xml:space="preserve">Operational risks in the mining sector include tailings dam safety, geotechnical stability, contractor performance, equipment failure, and workforce safety. The 2019 Brumadinho tailings dam failure in Brazil, which killed 270 people, prompted an industry-wide tightening of tailings dam standards under the Global Industry Standard on Tailings Management (GISTM), published in 2020. The principal operators in Côte d'Ivoire (Endeavour, Perseus, Fortuna) have committed to GISTM compliance, with implementation timelines extending to 2027 for high-consequence and extreme-consequence dams. The regulatory framework for tailings dam safety in Côte d'Ivoire, however, predates the GISTM and does not currently require conformance with the standard; this is a regulatory gap that the Ministry of Mines should address through the publication of an implementing decree.</w:t>
      </w:r>
    </w:p>
    <w:p>
      <w:pPr>
        <w:spacing w:after="160" w:line="312"/>
        <w:ind w:firstLine="0"/>
        <w:jc w:val="both"/>
      </w:pPr>
      <w:r>
        <w:rPr>
          <w:rFonts w:ascii="Times New Roman"/>
          <w:color w:val="000000"/>
          <w:sz w:val="22"/>
          <w:szCs w:val="22"/>
        </w:rPr>
        <w:t xml:space="preserve">Geotechnical risk — particularly slope stability in open-pit mines — is managed by operators through standard geotechnical monitoring practices, including the use of slope monitoring radar and slope stability analyses. The principal regulatory consideration is the requirement for periodic geotechnical reviews by independent third parties, which is not currently mandated under the Mining Code. Contractor performance risk is significant in the Côte d'Ivoire mining sector, where the contract mining model is widely used; the principal legal consideration is the structuring of contractor arrangements to ensure clear performance obligations, indemnities, and termination rights. Workforce safety is regulated under the Labour Code and under mining-specific occupational health and safety regulations; the principal gap is the limited capacity of the Inspectorate of Labour to monitor compliance, particularly in the ASM sector.</w:t>
      </w:r>
    </w:p>
    <w:p>
      <w:pPr>
        <w:pStyle w:val="Heading2"/>
        <w:spacing w:after="160" w:before="320" w:line="312"/>
      </w:pPr>
      <w:bookmarkStart w:name="_Toc27" w:id="27"/>
      <w:r>
        <w:rPr>
          <w:rFonts w:ascii="Calibri"/>
          <w:b/>
          <w:bCs/>
          <w:color w:val="0B2545"/>
          <w:sz w:val="28"/>
          <w:szCs w:val="28"/>
        </w:rPr>
        <w:t xml:space="preserve">4.5 Market and Commodity Risk</w:t>
      </w:r>
      <w:bookmarkEnd w:id="27"/>
    </w:p>
    <w:p>
      <w:pPr>
        <w:spacing w:after="160" w:line="312"/>
        <w:ind w:firstLine="0"/>
        <w:jc w:val="both"/>
      </w:pPr>
      <w:r>
        <w:rPr>
          <w:rFonts w:ascii="Times New Roman"/>
          <w:color w:val="000000"/>
          <w:sz w:val="22"/>
          <w:szCs w:val="22"/>
        </w:rPr>
        <w:t xml:space="preserve">Market and commodity risk is significant for the mining sector, with exposure to the gold price, the manganese price (linked to Chinese steel demand), and the prices of battery minerals (nickel, cobalt, lithium) which have been volatile since 2022. The gold price reached approximately USD 2,650 per ounce in late 2024, driven by central bank purchases and geopolitical risk; the medium-term outlook is uncertain, with the consensus forecast being for prices to remain elevated through 2026 but to moderate thereafter as central bank purchases slow. The manganese price has been volatile, ranging between USD 3.50 and USD 7.50 per dry metric tonne unit (dmtu) over the past five years, with the principal demand driver being Chinese steel production.</w:t>
      </w:r>
    </w:p>
    <w:p>
      <w:pPr>
        <w:spacing w:after="160" w:line="312"/>
        <w:ind w:firstLine="0"/>
        <w:jc w:val="both"/>
      </w:pPr>
      <w:r>
        <w:rPr>
          <w:rFonts w:ascii="Times New Roman"/>
          <w:color w:val="000000"/>
          <w:sz w:val="22"/>
          <w:szCs w:val="22"/>
        </w:rPr>
        <w:t xml:space="preserve">The battery minerals price environment has been particularly volatile since 2022. Nickel prices spiked to over USD 50,000 per tonne in March 2022 (driven by the LME nickel squeeze) before declining to approximately USD 18,000 per tonne by 2024. Cobalt prices have declined from approximately USD 80,000 per tonne in mid-2022 to USD 30,000 per tonne by 2024, driven by oversupply from Indonesian producers. Lithium prices have experienced the most dramatic cycle, with spodumene concentrate prices declining from USD 7,500 per tonne in late 2022 to USD 1,200 per tonne by 2024. The medium-term outlook is for prices to recover as demand from electric vehicle and energy storage markets grows, but the volatility will continue. From a policy perspective, the implication is that fiscal planning should not assume sustained high prices, and that the development of the country's battery-mineral endowment should be paced to match the price cycle.</w:t>
      </w:r>
    </w:p>
    <w:p>
      <w:pPr>
        <w:pStyle w:val="Heading2"/>
        <w:spacing w:after="160" w:before="320" w:line="312"/>
      </w:pPr>
      <w:bookmarkStart w:name="_Toc28" w:id="28"/>
      <w:r>
        <w:rPr>
          <w:rFonts w:ascii="Calibri"/>
          <w:b/>
          <w:bCs/>
          <w:color w:val="0B2545"/>
          <w:sz w:val="28"/>
          <w:szCs w:val="28"/>
        </w:rPr>
        <w:t xml:space="preserve">4.6 Currency and Convertibility Risk</w:t>
      </w:r>
      <w:bookmarkEnd w:id="28"/>
    </w:p>
    <w:p>
      <w:pPr>
        <w:spacing w:after="160" w:line="312"/>
        <w:ind w:firstLine="0"/>
        <w:jc w:val="both"/>
      </w:pPr>
      <w:r>
        <w:rPr>
          <w:rFonts w:ascii="Times New Roman"/>
          <w:color w:val="000000"/>
          <w:sz w:val="22"/>
          <w:szCs w:val="22"/>
        </w:rPr>
        <w:t xml:space="preserve">Côte d'Ivoire's currency is the West African CFA franc (XOF), pegged to the euro at 1 EUR = 655.957 XOF, with the peg guaranteed by the French Treasury through an operating account at the Banque de France. The currency board arrangement provides material stability relative to the floating exchange rates of other African jurisdictions, with the XOF having depreciated by less than 5% against the US dollar over the past decade (vs depreciation of approximately 50–70% for the Nigerian naira, the Ghanaian cedi, and the Guinean franc over the same period). The principal currency risk is the convertibility of the XOF for international transactions, which is generally unrestricted for current account transactions but subject to capital controls for certain capital account transactions.</w:t>
      </w:r>
    </w:p>
    <w:p>
      <w:pPr>
        <w:spacing w:after="160" w:line="312"/>
        <w:ind w:firstLine="0"/>
        <w:jc w:val="both"/>
      </w:pPr>
      <w:r>
        <w:rPr>
          <w:rFonts w:ascii="Times New Roman"/>
          <w:color w:val="000000"/>
          <w:sz w:val="22"/>
          <w:szCs w:val="22"/>
        </w:rPr>
        <w:t xml:space="preserve">The principal risk-management consideration for mining operators is the structuring of capital repatriation to ensure compliance with the capital controls, which are administered by the BCEAO and by the Ivorian Directorate General of the Treasury. The standard approach is to retain earnings in CFA francs in local bank accounts, with periodic conversion to US dollars or euros for distribution to shareholders. The stabilisation clause in mining conventions typically includes provisions for the repatriation of after-tax profits, providing additional protection against the imposition of new capital controls. The currency risk for the Ivorian government is the converse: a strengthening of the US dollar against the XOF (i.e., a depreciation of the XOF) increases the local-currency value of mining-sector revenue, providing a fiscal windfall during periods of dollar strength.</w:t>
      </w:r>
    </w:p>
    <w:p>
      <w:pPr>
        <w:pStyle w:val="Heading2"/>
        <w:spacing w:after="160" w:before="320" w:line="312"/>
      </w:pPr>
      <w:bookmarkStart w:name="_Toc29" w:id="29"/>
      <w:r>
        <w:rPr>
          <w:rFonts w:ascii="Calibri"/>
          <w:b/>
          <w:bCs/>
          <w:color w:val="0B2545"/>
          <w:sz w:val="28"/>
          <w:szCs w:val="28"/>
        </w:rPr>
        <w:t xml:space="preserve">4.7 Reputational Risk</w:t>
      </w:r>
      <w:bookmarkEnd w:id="29"/>
    </w:p>
    <w:p>
      <w:pPr>
        <w:spacing w:after="160" w:line="312"/>
        <w:ind w:firstLine="0"/>
        <w:jc w:val="both"/>
      </w:pPr>
      <w:r>
        <w:rPr>
          <w:rFonts w:ascii="Times New Roman"/>
          <w:color w:val="000000"/>
          <w:sz w:val="22"/>
          <w:szCs w:val="22"/>
        </w:rPr>
        <w:t xml:space="preserve">Reputational risk is increasingly material for the mining sector, driven by the rise of ESG due diligence in international capital markets, the implementation of the EU Corporate Sustainability Due Diligence Directive (CSDDD) from 2027, and the increasing focus of civil society organisations on the sector's environmental and social performance. Côte d'Ivoire's mining sector has generally maintained a positive reputation, supported by the country's EITI compliance, the implementation of the 2014 Mining Code, and the absence of major environmental or social incidents. However, the sector's reputation could be damaged by: (i) a major environmental incident (e.g., tailings dam failure, cyanide spill); (ii) significant ASM-related social conflict; (iii) allegations of corruption in permit allocation; or (iv) human rights allegations at operations or in the supply chain.</w:t>
      </w:r>
    </w:p>
    <w:p>
      <w:pPr>
        <w:spacing w:after="160" w:line="312"/>
        <w:ind w:firstLine="0"/>
        <w:jc w:val="both"/>
      </w:pPr>
      <w:r>
        <w:rPr>
          <w:rFonts w:ascii="Times New Roman"/>
          <w:color w:val="000000"/>
          <w:sz w:val="22"/>
          <w:szCs w:val="22"/>
        </w:rPr>
        <w:t xml:space="preserve">The principal reputational risk-management strategy is the maintenance of high standards of environmental and social performance, supported by transparent disclosure and stakeholder engagement. The EITI process, the beneficial ownership registry, and the publication of mining conventions (where these are published) all contribute to reputation management. The principal operators in Côte d'Ivoire have adopted international ESG frameworks (the ICMM Mining Principles, the Global Industry Standard on Tailings Management, the Voluntary Principles on Security and Human Rights), and the implementation of these frameworks provides a basis for managing reputational risk. From a government perspective, the principal reputational risk-management strategy is the effective enforcement of the Mining Code and related environmental and social regulations, with credible sanctions for non-compliance.</w:t>
      </w:r>
    </w:p>
    <w:p>
      <w:pPr>
        <w:pStyle w:val="Heading1"/>
        <w:spacing w:after="240" w:before="480" w:line="360"/>
      </w:pPr>
      <w:bookmarkStart w:name="_Toc30" w:id="30"/>
      <w:r>
        <w:rPr>
          <w:rFonts w:ascii="Calibri"/>
          <w:b/>
          <w:bCs/>
          <w:color w:val="0B2545"/>
          <w:sz w:val="32"/>
          <w:szCs w:val="32"/>
        </w:rPr>
        <w:t xml:space="preserve">5. ESG and Community Challenges</w:t>
      </w:r>
      <w:bookmarkEnd w:id="30"/>
    </w:p>
    <w:p>
      <w:pPr>
        <w:pStyle w:val="Heading2"/>
        <w:spacing w:after="160" w:before="320" w:line="312"/>
      </w:pPr>
      <w:bookmarkStart w:name="_Toc31" w:id="31"/>
      <w:r>
        <w:rPr>
          <w:rFonts w:ascii="Calibri"/>
          <w:b/>
          <w:bCs/>
          <w:color w:val="0B2545"/>
          <w:sz w:val="28"/>
          <w:szCs w:val="28"/>
        </w:rPr>
        <w:t xml:space="preserve">5.1 Environmental Legacy and Mine Closure</w:t>
      </w:r>
      <w:bookmarkEnd w:id="31"/>
    </w:p>
    <w:p>
      <w:pPr>
        <w:spacing w:after="160" w:line="312"/>
        <w:ind w:firstLine="0"/>
        <w:jc w:val="both"/>
      </w:pPr>
      <w:r>
        <w:rPr>
          <w:rFonts w:ascii="Times New Roman"/>
          <w:color w:val="000000"/>
          <w:sz w:val="22"/>
          <w:szCs w:val="22"/>
        </w:rPr>
        <w:t xml:space="preserve">The environmental legacy of mining in Côte d'Ivoire is concentrated in two principal categories: abandoned mine sites from the colonial and early post-independence periods, and historic tailings storage facilities at the long-life Ity mine and at other operations. The abandoned mine sites — at Bondoukou, Tortiya, Séguéla and elsewhere — pose environmental and safety risks, with open shafts, contaminated soils, and unrehabilitated processing areas. The historic tailings storage facilities at Ity and at other operations are managed under current regulatory requirements, but the older facilities predate current standards and require ongoing monitoring and potential remediation.</w:t>
      </w:r>
    </w:p>
    <w:p>
      <w:pPr>
        <w:spacing w:after="160" w:line="312"/>
        <w:ind w:firstLine="0"/>
        <w:jc w:val="both"/>
      </w:pPr>
      <w:r>
        <w:rPr>
          <w:rFonts w:ascii="Times New Roman"/>
          <w:color w:val="000000"/>
          <w:sz w:val="22"/>
          <w:szCs w:val="22"/>
        </w:rPr>
        <w:t xml:space="preserve">The mine closure challenge is medium-term. As noted in Chapter 2.6, the Ity mine is currently projected to close in 2032; the Sissingué mine is in wind-down with closure projected for 2027; and several other operations will reach end-of-life in the 2030s. The cumulative closure liability across the sector has been estimated at USD 200–400 million, against which the existing bond pool is materially inadequate. The closure process requires careful planning, with progressive rehabilitation during operations, stakeholder engagement with affected communities, and post-closure monitoring for at least 10 years after closure. The regulatory framework for closure — Decree No. 2014-211 — provides a basis for closure planning but requires strengthening to align with international good practice, including the ICMM Mine Closure Good Practice Guide and the International Organisation for Standardisation's ISO 21795-1:2021 on mine closure.</w:t>
      </w:r>
    </w:p>
    <w:p>
      <w:pPr>
        <w:pStyle w:val="Heading2"/>
        <w:spacing w:after="160" w:before="320" w:line="312"/>
      </w:pPr>
      <w:bookmarkStart w:name="_Toc32" w:id="32"/>
      <w:r>
        <w:rPr>
          <w:rFonts w:ascii="Calibri"/>
          <w:b/>
          <w:bCs/>
          <w:color w:val="0B2545"/>
          <w:sz w:val="28"/>
          <w:szCs w:val="28"/>
        </w:rPr>
        <w:t xml:space="preserve">5.2 Mercury Use in ASM</w:t>
      </w:r>
      <w:bookmarkEnd w:id="32"/>
    </w:p>
    <w:p>
      <w:pPr>
        <w:spacing w:after="160" w:line="312"/>
        <w:ind w:firstLine="0"/>
        <w:jc w:val="both"/>
      </w:pPr>
      <w:r>
        <w:rPr>
          <w:rFonts w:ascii="Times New Roman"/>
          <w:color w:val="000000"/>
          <w:sz w:val="22"/>
          <w:szCs w:val="22"/>
        </w:rPr>
        <w:t xml:space="preserve">Mercury use in artisanal and small-scale gold processing remains common in Côte d'Ivoire, despite the country's ratification of the Minamata Convention on Mercury in 2016. The Minamata Convention requires parties to reduce, and where feasible eliminate, the use of mercury in ASM gold processing, with national action plans to be submitted within three years of ratification. Côte d'Ivoire's national action plan, submitted in 2019, targets a 50% reduction in mercury use by 2030. The principal challenge is the implementation: mercury-free processing technology (gravimetric concentration, cyanide vat leaching with closed-circuit mercury recovery, or borax smelting) requires capital investment and technical training that are not currently accessible to the majority of artisanal miners.</w:t>
      </w:r>
    </w:p>
    <w:p>
      <w:pPr>
        <w:spacing w:after="160" w:line="312"/>
        <w:ind w:firstLine="0"/>
        <w:jc w:val="both"/>
      </w:pPr>
      <w:r>
        <w:rPr>
          <w:rFonts w:ascii="Times New Roman"/>
          <w:color w:val="000000"/>
          <w:sz w:val="22"/>
          <w:szCs w:val="22"/>
        </w:rPr>
        <w:t xml:space="preserve">The remedy is the establishment of a network of mercury-free processing hubs, as discussed in Chapter 6.3. The hubs would provide artisanal miners with access to clean processing technology in exchange for formalisation, with the operators of the hubs (joint ventures between SODEMI, development partners and private operators) capturing a margin on the processing service. The Impact Facility's Just Gold programme in the Democratic Republic of Congo and the Fairtrade Foundation's programme in Tanzania have demonstrated that this model can be commercially viable at scale, with material environmental and social benefits. The programme would also support the formalisation of the ASM sector and the capture of ASM gold production in the formal fiscal system.</w:t>
      </w:r>
    </w:p>
    <w:p>
      <w:pPr>
        <w:pStyle w:val="Heading2"/>
        <w:spacing w:after="160" w:before="320" w:line="312"/>
      </w:pPr>
      <w:bookmarkStart w:name="_Toc33" w:id="33"/>
      <w:r>
        <w:rPr>
          <w:rFonts w:ascii="Calibri"/>
          <w:b/>
          <w:bCs/>
          <w:color w:val="0B2545"/>
          <w:sz w:val="28"/>
          <w:szCs w:val="28"/>
        </w:rPr>
        <w:t xml:space="preserve">5.3 Deforestation and Biodiversity</w:t>
      </w:r>
      <w:bookmarkEnd w:id="33"/>
    </w:p>
    <w:p>
      <w:pPr>
        <w:spacing w:after="160" w:line="312"/>
        <w:ind w:firstLine="0"/>
        <w:jc w:val="both"/>
      </w:pPr>
      <w:r>
        <w:rPr>
          <w:rFonts w:ascii="Times New Roman"/>
          <w:color w:val="000000"/>
          <w:sz w:val="22"/>
          <w:szCs w:val="22"/>
        </w:rPr>
        <w:t xml:space="preserve">Deforestation from mining activity is concentrated in the Bafing, Cavally and Tchologo regions, where artisanal gold mining and the development of new industrial mines have contributed to forest loss. The Global Forest Watch platform estimates that Côte d'Ivoire lost approximately 1.2 million hectares of forest cover between 2015 and 2024, with mining contributing an estimated 5–10% of the total (with the balance driven by agricultural expansion, particularly cocoa and rubber). The principal biodiversity impacts are on the protected area network — including the Mont Sangbé National Park, the Comoé National Park, and the Taï National Park — where mining activity in buffer zones has affected habitat connectivity and species populations.</w:t>
      </w:r>
    </w:p>
    <w:p>
      <w:pPr>
        <w:spacing w:after="160" w:line="312"/>
        <w:ind w:firstLine="0"/>
        <w:jc w:val="both"/>
      </w:pPr>
      <w:r>
        <w:rPr>
          <w:rFonts w:ascii="Times New Roman"/>
          <w:color w:val="000000"/>
          <w:sz w:val="22"/>
          <w:szCs w:val="22"/>
        </w:rPr>
        <w:t xml:space="preserve">The remedy combines regulatory enforcement and technological monitoring. Regulatory enforcement: the protected area network is governed by the Forestry Code (Law No. 2019-675 of 23 July 2019), which prohibits mining in protected areas and requires environmental impact assessment for mining in buffer zones; the enforcement of these provisions is the responsibility of the Ministry of Water and Forests (MINEF), in coordination with CIAPOL and the Ministry of Mines. Technological monitoring: satellite-based remote sensing, with monthly monitoring of forest cover change in the mining regions, provides an independent monitoring tool that can detect deforestation events within days of their occurrence. The combination of regulatory enforcement and satellite monitoring is detailed in Chapter 6.4.</w:t>
      </w:r>
    </w:p>
    <w:p>
      <w:pPr>
        <w:pStyle w:val="Heading2"/>
        <w:spacing w:after="160" w:before="320" w:line="312"/>
      </w:pPr>
      <w:bookmarkStart w:name="_Toc34" w:id="34"/>
      <w:r>
        <w:rPr>
          <w:rFonts w:ascii="Calibri"/>
          <w:b/>
          <w:bCs/>
          <w:color w:val="0B2545"/>
          <w:sz w:val="28"/>
          <w:szCs w:val="28"/>
        </w:rPr>
        <w:t xml:space="preserve">5.4 Water Pollution</w:t>
      </w:r>
      <w:bookmarkEnd w:id="34"/>
    </w:p>
    <w:p>
      <w:pPr>
        <w:spacing w:after="160" w:line="312"/>
        <w:ind w:firstLine="0"/>
        <w:jc w:val="both"/>
      </w:pPr>
      <w:r>
        <w:rPr>
          <w:rFonts w:ascii="Times New Roman"/>
          <w:color w:val="000000"/>
          <w:sz w:val="22"/>
          <w:szCs w:val="22"/>
        </w:rPr>
        <w:t xml:space="preserve">Water pollution from mining activity is a material concern in Côte d'Ivoire, particularly in the Bondoukou, Tortiya and Séguéla regions where artisanal mining and processing have affected surface water quality. The principal pollutants are mercury (from ASM gold processing), cyanide (from industrial gold processing), and heavy metals (from mine drainage, particularly at older operations). The regulatory framework for water discharge quality is governed by the Mining Code and by Decree No. 2013-99 on environmental and social impact assessment, with specific discharge limits set by ministerial order. The principal gap is enforcement, with CIAPOL's monitoring capacity insufficient to provide effective oversight.</w:t>
      </w:r>
    </w:p>
    <w:p>
      <w:pPr>
        <w:spacing w:after="160" w:line="312"/>
        <w:ind w:firstLine="0"/>
        <w:jc w:val="both"/>
      </w:pPr>
      <w:r>
        <w:rPr>
          <w:rFonts w:ascii="Times New Roman"/>
          <w:color w:val="000000"/>
          <w:sz w:val="22"/>
          <w:szCs w:val="22"/>
        </w:rPr>
        <w:t xml:space="preserve">The remedy is the deployment of distributed IoT water-quality sensors in the principal mining regions, providing real-time monitoring of water quality parameters (pH, conductivity, dissolved oxygen, turbidity, mercury, cyanide) and alerting CIAPOL to discharge events. The sensor network should be integrated with the satellite remote sensing system recommended in Chapter 6.4, providing a comprehensive picture of water quality in the mining regions. The system should also be integrated with the water resource management system recommended in Chapter 3.4, providing a single source of truth on water resources and water quality in the mining regions. The estimated investment is USD 3–5 million over 2 years, with material benefits for environmental protection and for the credibility of the regulatory regime.</w:t>
      </w:r>
    </w:p>
    <w:p>
      <w:pPr>
        <w:pStyle w:val="Heading2"/>
        <w:spacing w:after="160" w:before="320" w:line="312"/>
      </w:pPr>
      <w:bookmarkStart w:name="_Toc35" w:id="35"/>
      <w:r>
        <w:rPr>
          <w:rFonts w:ascii="Calibri"/>
          <w:b/>
          <w:bCs/>
          <w:color w:val="0B2545"/>
          <w:sz w:val="28"/>
          <w:szCs w:val="28"/>
        </w:rPr>
        <w:t xml:space="preserve">5.5 Community Consent and Social Licence</w:t>
      </w:r>
      <w:bookmarkEnd w:id="35"/>
    </w:p>
    <w:p>
      <w:pPr>
        <w:spacing w:after="160" w:line="312"/>
        <w:ind w:firstLine="0"/>
        <w:jc w:val="both"/>
      </w:pPr>
      <w:r>
        <w:rPr>
          <w:rFonts w:ascii="Times New Roman"/>
          <w:color w:val="000000"/>
          <w:sz w:val="22"/>
          <w:szCs w:val="22"/>
        </w:rPr>
        <w:t xml:space="preserve">Community consent and social licence are increasingly material for the mining sector, driven by the rise of community expectations, the increasing assertiveness of civil society organisations, and the implementation of international standards on free, prior and informed consent (FPIC). Côte d'Ivoire's Mining Code requires the negotiation of community development agreements (conventions de développement communautaire) with host communities, with annual funding of at least 0.5% of revenue. The principal gap is the quality of these agreements, with many being negotiated under time pressure and with limited community participation, and the absence of effective grievance mechanisms to address community concerns during the operational phase.</w:t>
      </w:r>
    </w:p>
    <w:p>
      <w:pPr>
        <w:spacing w:after="160" w:line="312"/>
        <w:ind w:firstLine="0"/>
        <w:jc w:val="both"/>
      </w:pPr>
      <w:r>
        <w:rPr>
          <w:rFonts w:ascii="Times New Roman"/>
          <w:color w:val="000000"/>
          <w:sz w:val="22"/>
          <w:szCs w:val="22"/>
        </w:rPr>
        <w:t xml:space="preserve">The remedy combines regulatory strengthening and digital engagement. Regulatory strengthening: the Ministry of Mines should publish guidance on the negotiation of community development agreements, including minimum content (governance, transparency, dispute resolution, performance indicators) and the process for community participation. The Mining Code should be amended to require independent verification of community consent at the grant of exploitation permits, with the FPIC framework applied to projects affecting indigenous peoples (including the Bini community in the western regions). Digital engagement: the mobile-first community grievance mechanism recommended in Chapter 6.5 would provide communities with a direct channel for raising concerns with operators and with the Ministry, with transparent tracking of grievances and resolution.</w:t>
      </w:r>
    </w:p>
    <w:p>
      <w:pPr>
        <w:pStyle w:val="Heading2"/>
        <w:spacing w:after="160" w:before="320" w:line="312"/>
      </w:pPr>
      <w:bookmarkStart w:name="_Toc36" w:id="36"/>
      <w:r>
        <w:rPr>
          <w:rFonts w:ascii="Calibri"/>
          <w:b/>
          <w:bCs/>
          <w:color w:val="0B2545"/>
          <w:sz w:val="28"/>
          <w:szCs w:val="28"/>
        </w:rPr>
        <w:t xml:space="preserve">5.6 Human Rights and Artisanal Labour</w:t>
      </w:r>
      <w:bookmarkEnd w:id="36"/>
    </w:p>
    <w:p>
      <w:pPr>
        <w:spacing w:after="160" w:line="312"/>
        <w:ind w:firstLine="0"/>
        <w:jc w:val="both"/>
      </w:pPr>
      <w:r>
        <w:rPr>
          <w:rFonts w:ascii="Times New Roman"/>
          <w:color w:val="000000"/>
          <w:sz w:val="22"/>
          <w:szCs w:val="22"/>
        </w:rPr>
        <w:t xml:space="preserve">Human rights considerations in the mining sector include child labour in ASM, gender inclusion in the mining workforce, and the rights of indigenous peoples. Child labour in ASM remains a material concern in Côte d'Ivoire, with the International Labour Organization estimating that approximately 12,000–20,000 children are engaged in ASM activity in the country, particularly in the northern and western gold regions. The government's 2024 National Action Plan on the Elimination of Child Labour in Mining, supported by the ILO and UNICEF, targets a 50% reduction by 2027. The principal challenge is the structural nature of ASM child labour, which is driven by poverty, the absence of alternative livelihoods, and the limited reach of formal education in the ASM regions.</w:t>
      </w:r>
    </w:p>
    <w:p>
      <w:pPr>
        <w:spacing w:after="160" w:line="312"/>
        <w:ind w:firstLine="0"/>
        <w:jc w:val="both"/>
      </w:pPr>
      <w:r>
        <w:rPr>
          <w:rFonts w:ascii="Times New Roman"/>
          <w:color w:val="000000"/>
          <w:sz w:val="22"/>
          <w:szCs w:val="22"/>
        </w:rPr>
        <w:t xml:space="preserve">Gender inclusion in the industrial mining workforce is at approximately 8–12% (compared to an industry global average of approximately 10–15%), with women concentrated in administrative and support roles rather than in operational and technical roles. The principal barriers are cultural, with traditional gender roles affecting women's participation in mining activity, and structural, with limited access to technical training for women in mining-related fields. The remedy combines regulatory measures (gender quotas in mining workforce, gender-responsive training programmes) and operational measures (gender-responsive workplace policies, women's networks in mining companies). The rights of indigenous peoples — particularly the Bini community in the western regions — require attention under the FPIC framework, with the implementation of consent processes for any mining activity in or affecting Bini traditional territories.</w:t>
      </w:r>
    </w:p>
    <w:p>
      <w:pPr>
        <w:pStyle w:val="Heading2"/>
        <w:spacing w:after="160" w:before="320" w:line="312"/>
      </w:pPr>
      <w:bookmarkStart w:name="_Toc37" w:id="37"/>
      <w:r>
        <w:rPr>
          <w:rFonts w:ascii="Calibri"/>
          <w:b/>
          <w:bCs/>
          <w:color w:val="0B2545"/>
          <w:sz w:val="28"/>
          <w:szCs w:val="28"/>
        </w:rPr>
        <w:t xml:space="preserve">5.7 Climate Change and Energy Transition</w:t>
      </w:r>
      <w:bookmarkEnd w:id="37"/>
    </w:p>
    <w:p>
      <w:pPr>
        <w:spacing w:after="160" w:line="312"/>
        <w:ind w:firstLine="0"/>
        <w:jc w:val="both"/>
      </w:pPr>
      <w:r>
        <w:rPr>
          <w:rFonts w:ascii="Times New Roman"/>
          <w:color w:val="000000"/>
          <w:sz w:val="22"/>
          <w:szCs w:val="22"/>
        </w:rPr>
        <w:t xml:space="preserve">Climate change affects the mining sector in two principal ways: through the physical impacts of climate change on mining operations (water stress, extreme weather, sea-level rise affecting coastal infrastructure), and through the energy transition, which is driving demand for the battery minerals that Côte d'Ivoire hosts. The physical impacts are medium-term: the Intergovernmental Panel on Climate Change (IPCC) projects that West Africa will experience increased climate variability, with more frequent and intense dry spells in the Sahel and increased precipitation variability in the Gulf of Guinea coastal regions. The principal implications for the mining sector are water stress in the northern mining regions (requiring the water resource management system recommended in Chapter 3.4) and increased extreme weather affecting operations and infrastructure.</w:t>
      </w:r>
    </w:p>
    <w:p>
      <w:pPr>
        <w:spacing w:after="160" w:line="312"/>
        <w:ind w:firstLine="0"/>
        <w:jc w:val="both"/>
      </w:pPr>
      <w:r>
        <w:rPr>
          <w:rFonts w:ascii="Times New Roman"/>
          <w:color w:val="000000"/>
          <w:sz w:val="22"/>
          <w:szCs w:val="22"/>
        </w:rPr>
        <w:t xml:space="preserve">The energy transition is a material opportunity for the country. The International Energy Agency (IEA) projects that global demand for battery minerals will increase 3.5–6.0 times by 2050 under the Net Zero Emissions scenario, with nickel, cobalt, lithium and rare earths seeing the largest increases. Côte d'Ivoire's endowment of these minerals — the Biankouma nickel-cobalt laterites, the lithium pegmatites of the Issia region, and the rare earth potential of the carbonatite intrusions — positions the country to participate in this growing market. The strategic implication is that the development of the country's battery-mineral endowment should be paced to match the global demand cycle, with a focus on attracting investment in exploration and development during the current decade. The Minerals Security Partnership, in which Côte d'Ivoire participates, provides a framework for engagement with the principal consumer governments (the United States, the European Union, Japan, Korea, the United Kingdom, Canada and Australia) and for accessing the financing and technical support available through the partnership.</w:t>
      </w:r>
    </w:p>
    <w:p>
      <w:pPr>
        <w:pStyle w:val="Heading1"/>
        <w:spacing w:after="240" w:before="480" w:line="360"/>
      </w:pPr>
      <w:bookmarkStart w:name="_Toc38" w:id="38"/>
      <w:r>
        <w:rPr>
          <w:rFonts w:ascii="Calibri"/>
          <w:b/>
          <w:bCs/>
          <w:color w:val="0B2545"/>
          <w:sz w:val="32"/>
          <w:szCs w:val="32"/>
        </w:rPr>
        <w:t xml:space="preserve">6. Digital Solutions and AI Systems for Government</w:t>
      </w:r>
      <w:bookmarkEnd w:id="38"/>
    </w:p>
    <w:p>
      <w:pPr>
        <w:spacing w:after="160" w:line="312"/>
        <w:ind w:firstLine="0"/>
        <w:jc w:val="both"/>
      </w:pPr>
      <w:r>
        <w:rPr>
          <w:rFonts w:ascii="Times New Roman"/>
          <w:color w:val="000000"/>
          <w:sz w:val="22"/>
          <w:szCs w:val="22"/>
        </w:rPr>
        <w:t xml:space="preserve">This chapter sets out seven digital solution domains for the Côte d'Ivoire mining sector, each with two specific technology options, implementation pathways, and quantified benefits. The recommendations are based on the comparator experience of Ghana, Burkina Faso, Liberia, Mozambique and other African jurisdictions that have implemented comparable systems, and on the specific gap analysis presented in Chapters 2 to 5.</w:t>
      </w:r>
    </w:p>
    <w:p>
      <w:pPr>
        <w:pStyle w:val="Heading2"/>
        <w:spacing w:after="160" w:before="320" w:line="312"/>
      </w:pPr>
      <w:bookmarkStart w:name="_Toc39" w:id="39"/>
      <w:r>
        <w:rPr>
          <w:rFonts w:ascii="Calibri"/>
          <w:b/>
          <w:bCs/>
          <w:color w:val="0B2545"/>
          <w:sz w:val="28"/>
          <w:szCs w:val="28"/>
        </w:rPr>
        <w:t xml:space="preserve">6.1 Permit and Licensing Management</w:t>
      </w:r>
      <w:bookmarkEnd w:id="39"/>
    </w:p>
    <w:p>
      <w:pPr>
        <w:pStyle w:val="Heading3"/>
        <w:spacing w:after="120" w:before="240" w:line="312"/>
      </w:pPr>
      <w:bookmarkStart w:name="_Toc40" w:id="40"/>
      <w:r>
        <w:rPr>
          <w:rFonts w:ascii="Calibri"/>
          <w:b/>
          <w:bCs/>
          <w:color w:val="1A2C45"/>
          <w:sz w:val="24"/>
          <w:szCs w:val="24"/>
        </w:rPr>
        <w:t xml:space="preserve">6.1.1 Option A: Trimble FlexiCadastre (Enterprise Mining Cadastre System)</w:t>
      </w:r>
      <w:bookmarkEnd w:id="40"/>
    </w:p>
    <w:p>
      <w:pPr>
        <w:spacing w:after="160" w:line="312"/>
        <w:ind w:firstLine="0"/>
        <w:jc w:val="both"/>
      </w:pPr>
      <w:r>
        <w:rPr>
          <w:rFonts w:ascii="Times New Roman"/>
          <w:color w:val="000000"/>
          <w:sz w:val="22"/>
          <w:szCs w:val="22"/>
        </w:rPr>
        <w:t xml:space="preserve">Trimble's FlexiCadastre (formerly Spatial Dimension, acquired by Trimble in 2015) is the most widely deployed mining cadastre system in Africa, with implementations in Burkina Faso (2014), Liberia (2017), Mozambique (2019), Sierra Leone, Eritrea, and a number of other jurisdictions. The system provides a comprehensive permit management platform covering application intake, technical review workflow, spatial data management, document management, public transparency portal, and integration with related systems (geological survey, environmental monitoring, royalty collection). The platform is cloud-deployable or on-premise, supports both online and offline operation (important for areas with limited connectivity), and is configured to the specific requirements of each jurisdiction's mining code. Trimble provides implementation services and ongoing support through a network of certified partners.</w:t>
      </w:r>
    </w:p>
    <w:p>
      <w:pPr>
        <w:spacing w:after="160" w:line="312"/>
        <w:ind w:firstLine="0"/>
        <w:jc w:val="both"/>
      </w:pPr>
      <w:r>
        <w:rPr>
          <w:rFonts w:ascii="Times New Roman"/>
          <w:color w:val="000000"/>
          <w:sz w:val="22"/>
          <w:szCs w:val="22"/>
        </w:rPr>
        <w:t xml:space="preserve">Implementation pathway: a phased deployment over 18–24 months, with Phase 1 (months 1–6) covering the configuration of the system to the Côte d'Ivoire Mining Code, data migration from existing DGMG records, and pilot deployment in two regions; Phase 2 (months 7–12) covering national rollout, training of DGMG staff, and integration with the beneficial ownership registry and the EITI reporting platform; Phase 3 (months 13–24) covering advanced functionality (workflow automation, public transparency portal, mobile applications for field inspection). The estimated cost is USD 4–6 million for the initial deployment, with annual operating costs of USD 0.6–0.8 million. The system should be hosted on national cloud infrastructure (subject to the development of national data-centre capacity) or on a regional African cloud (e.g., AWS Cape Town, Microsoft Azure South Africa).</w:t>
      </w:r>
    </w:p>
    <w:p>
      <w:pPr>
        <w:spacing w:after="160" w:line="312"/>
        <w:ind w:firstLine="0"/>
        <w:jc w:val="both"/>
      </w:pPr>
      <w:r>
        <w:rPr>
          <w:rFonts w:ascii="Times New Roman"/>
          <w:color w:val="000000"/>
          <w:sz w:val="22"/>
          <w:szCs w:val="22"/>
        </w:rPr>
        <w:t xml:space="preserve">Benefits — Government: reduction of permit processing times from 6–18 months to 3–6 months (comparable to the Burkina Faso experience); elimination of the licensing backlog within 18 months of deployment; improved transparency and reduced corruption risk through public disclosure of permit applications and grants; improved audit trail for EITI reporting. Economic: increased exploration investment, with an estimated USD 50–80 million in additional exploration expenditure over 5 years attributable to improved permit predictability; faster project development timelines, with an estimated USD 200–300 million in additional mining-sector investment unlocked. ESG: improved regulatory oversight of permit compliance, supporting environmental and social enforcement.</w:t>
      </w:r>
    </w:p>
    <w:p>
      <w:pPr>
        <w:pStyle w:val="Heading3"/>
        <w:spacing w:after="120" w:before="240" w:line="312"/>
      </w:pPr>
      <w:bookmarkStart w:name="_Toc41" w:id="41"/>
      <w:r>
        <w:rPr>
          <w:rFonts w:ascii="Calibri"/>
          <w:b/>
          <w:bCs/>
          <w:color w:val="1A2C45"/>
          <w:sz w:val="24"/>
          <w:szCs w:val="24"/>
        </w:rPr>
        <w:t xml:space="preserve">6.1.2 Option B: World Bank EITI-Aligned Cloud SaaS (Open-Source Cadastre)</w:t>
      </w:r>
      <w:bookmarkEnd w:id="41"/>
    </w:p>
    <w:p>
      <w:pPr>
        <w:spacing w:after="160" w:line="312"/>
        <w:ind w:firstLine="0"/>
        <w:jc w:val="both"/>
      </w:pPr>
      <w:r>
        <w:rPr>
          <w:rFonts w:ascii="Times New Roman"/>
          <w:color w:val="000000"/>
          <w:sz w:val="22"/>
          <w:szCs w:val="22"/>
        </w:rPr>
        <w:t xml:space="preserve">The World Bank's Energy Sector Management Assistance Program (ESMAP) and the Extractive Industries Global Program have supported the development of an open-source mining cadastre system, deployed in a cloud SaaS model, with implementations in Mongolia, Sierra Leone, and a number of other jurisdictions. The system is based on the OpenTenure and OpenCadastre open-source projects, with configuration to the specific requirements of each jurisdiction. The system provides similar functionality to FlexiCadastre (permit management, spatial data, document management, public transparency) but with lower licence costs, higher customisation flexibility, and greater reliance on local technical capacity for implementation and support.</w:t>
      </w:r>
    </w:p>
    <w:p>
      <w:pPr>
        <w:spacing w:after="160" w:line="312"/>
        <w:ind w:firstLine="0"/>
        <w:jc w:val="both"/>
      </w:pPr>
      <w:r>
        <w:rPr>
          <w:rFonts w:ascii="Times New Roman"/>
          <w:color w:val="000000"/>
          <w:sz w:val="22"/>
          <w:szCs w:val="22"/>
        </w:rPr>
        <w:t xml:space="preserve">Implementation pathway: a phased deployment over 24–30 months, with Phase 1 (months 1–8) covering system configuration, data migration, and pilot deployment; Phase 2 (months 9–18) covering national rollout and integration with related systems; Phase 3 (months 19–30) covering advanced functionality and feature development. The estimated cost is USD 2.5–3.5 million for the initial deployment, with annual operating costs of USD 0.3–0.5 million. The system should be hosted on a regional African cloud, with the option of migration to national cloud infrastructure when available. The implementation team should include a substantial local component, building technical capacity for ongoing support and feature development.</w:t>
      </w:r>
    </w:p>
    <w:p>
      <w:pPr>
        <w:spacing w:after="160" w:line="312"/>
        <w:ind w:firstLine="0"/>
        <w:jc w:val="both"/>
      </w:pPr>
      <w:r>
        <w:rPr>
          <w:rFonts w:ascii="Times New Roman"/>
          <w:color w:val="000000"/>
          <w:sz w:val="22"/>
          <w:szCs w:val="22"/>
        </w:rPr>
        <w:t xml:space="preserve">Benefits — Government: comparable to Option A in terms of permit processing improvement, transparency, and audit trail; lower total cost of ownership (estimated 40–50% lower over a 10-year horizon); greater flexibility for feature development and customisation; building of local technical capacity in digital cadastre management. Economic: comparable to Option A in terms of exploration investment attraction; lower initial investment frees capital for other digital solutions; local technical capacity supports other digital initiatives. ESG: comparable to Option A; the open-source nature of the platform supports transparency and external scrutiny.</w:t>
      </w:r>
    </w:p>
    <w:p>
      <w:pPr>
        <w:pStyle w:val="Heading2"/>
        <w:spacing w:after="160" w:before="320" w:line="312"/>
      </w:pPr>
      <w:bookmarkStart w:name="_Toc42" w:id="42"/>
      <w:r>
        <w:rPr>
          <w:rFonts w:ascii="Calibri"/>
          <w:b/>
          <w:bCs/>
          <w:color w:val="0B2545"/>
          <w:sz w:val="28"/>
          <w:szCs w:val="28"/>
        </w:rPr>
        <w:t xml:space="preserve">6.2 Production and Royalty Monitoring</w:t>
      </w:r>
      <w:bookmarkEnd w:id="42"/>
    </w:p>
    <w:p>
      <w:pPr>
        <w:pStyle w:val="Heading3"/>
        <w:spacing w:after="120" w:before="240" w:line="312"/>
      </w:pPr>
      <w:bookmarkStart w:name="_Toc43" w:id="43"/>
      <w:r>
        <w:rPr>
          <w:rFonts w:ascii="Calibri"/>
          <w:b/>
          <w:bCs/>
          <w:color w:val="1A2C45"/>
          <w:sz w:val="24"/>
          <w:szCs w:val="24"/>
        </w:rPr>
        <w:t xml:space="preserve">6.2.1 Option A: IoT Conveyor-Belt Scale and XRF Analyser with Central Reconciliation Platform</w:t>
      </w:r>
      <w:bookmarkEnd w:id="43"/>
    </w:p>
    <w:p>
      <w:pPr>
        <w:spacing w:after="160" w:line="312"/>
        <w:ind w:firstLine="0"/>
        <w:jc w:val="both"/>
      </w:pPr>
      <w:r>
        <w:rPr>
          <w:rFonts w:ascii="Times New Roman"/>
          <w:color w:val="000000"/>
          <w:sz w:val="22"/>
          <w:szCs w:val="22"/>
        </w:rPr>
        <w:t xml:space="preserve">Production-based royalty monitoring through IoT conveyor-belt scales and online X-ray fluorescence (XRF) analysers, integrated with a central reconciliation platform, provides the government with near-real-time visibility of mineral production at each operating mine. The system consists of: (i) belt scales installed at the principal conveyor discharge points at each processing plant, providing continuous measurement of ore tonnage; (ii) online XRF analysers at the same discharge points, providing continuous measurement of ore grade; (iii) a central reconciliation platform, hosted by the DGMG or SODEMI, integrating production data with royalty calculation and reconciliation against operator-reported production and royalty payments.</w:t>
      </w:r>
    </w:p>
    <w:p>
      <w:pPr>
        <w:spacing w:after="160" w:line="312"/>
        <w:ind w:firstLine="0"/>
        <w:jc w:val="both"/>
      </w:pPr>
      <w:r>
        <w:rPr>
          <w:rFonts w:ascii="Times New Roman"/>
          <w:color w:val="000000"/>
          <w:sz w:val="22"/>
          <w:szCs w:val="22"/>
        </w:rPr>
        <w:t xml:space="preserve">Implementation pathway: pilot deployment at two operations (one Endeavour mine and one Perseus mine) over 12 months, with Phase 1 (months 1–6) covering the installation of the sensors and the integration with the central platform; Phase 2 (months 7–12) covering the operational testing and the reconciliation against operator-reported production. National rollout over 18 months following the pilot, with installation at all operating mines. The estimated cost is USD 6–9 million for the national deployment, with annual operating costs of USD 1.0–1.5 million. The system should be procured through an open tender, with the principal vendors being Endress+Hauser, Siemens, and Thermo Fisher Scientific for the sensors, and a custom software integrator for the central platform.</w:t>
      </w:r>
    </w:p>
    <w:p>
      <w:pPr>
        <w:spacing w:after="160" w:line="312"/>
        <w:ind w:firstLine="0"/>
        <w:jc w:val="both"/>
      </w:pPr>
      <w:r>
        <w:rPr>
          <w:rFonts w:ascii="Times New Roman"/>
          <w:color w:val="000000"/>
          <w:sz w:val="22"/>
          <w:szCs w:val="22"/>
        </w:rPr>
        <w:t xml:space="preserve">Benefits — Government: estimated revenue uplift of USD 30–50 million per annum through the elimination of royalty under-reporting (assuming a 10–15% under-reporting rate, consistent with international experience); improved audit trail for EITI reporting; real-time visibility of production trends supporting fiscal planning. Economic: improved fiscal sustainability of the mining sector; reduced risk of fiscal surprise in periods of high commodity prices. ESG: improved transparency of production data supports community trust and ESG due diligence.</w:t>
      </w:r>
    </w:p>
    <w:p>
      <w:pPr>
        <w:pStyle w:val="Heading3"/>
        <w:spacing w:after="120" w:before="240" w:line="312"/>
      </w:pPr>
      <w:bookmarkStart w:name="_Toc44" w:id="44"/>
      <w:r>
        <w:rPr>
          <w:rFonts w:ascii="Calibri"/>
          <w:b/>
          <w:bCs/>
          <w:color w:val="1A2C45"/>
          <w:sz w:val="24"/>
          <w:szCs w:val="24"/>
        </w:rPr>
        <w:t xml:space="preserve">6.2.2 Option B: Satellite-Based Production Estimation with Blockchain Royalty Audit</w:t>
      </w:r>
      <w:bookmarkEnd w:id="44"/>
    </w:p>
    <w:p>
      <w:pPr>
        <w:spacing w:after="160" w:line="312"/>
        <w:ind w:firstLine="0"/>
        <w:jc w:val="both"/>
      </w:pPr>
      <w:r>
        <w:rPr>
          <w:rFonts w:ascii="Times New Roman"/>
          <w:color w:val="000000"/>
          <w:sz w:val="22"/>
          <w:szCs w:val="22"/>
        </w:rPr>
        <w:t xml:space="preserve">Satellite-based production estimation, integrated with a blockchain royalty audit platform, provides the government with an independent and verifiable estimate of mineral production at each operating mine, without the need for in-mine sensor installation. The system consists of: (i) satellite imagery (Planet Labs' daily high-resolution imagery, Sentinel-1 SAR, Sentinel-2 multispectral) processed through machine learning algorithms to estimate production volumes from open-pit geometry changes, tailings storage facility expansion, and processing plant activity; (ii) a blockchain-based royalty audit platform, recording operator-reported production, satellite-estimated production, and the reconciliation between the two, with cryptographic verification of data integrity.</w:t>
      </w:r>
    </w:p>
    <w:p>
      <w:pPr>
        <w:spacing w:after="160" w:line="312"/>
        <w:ind w:firstLine="0"/>
        <w:jc w:val="both"/>
      </w:pPr>
      <w:r>
        <w:rPr>
          <w:rFonts w:ascii="Times New Roman"/>
          <w:color w:val="000000"/>
          <w:sz w:val="22"/>
          <w:szCs w:val="22"/>
        </w:rPr>
        <w:t xml:space="preserve">Implementation pathway: pilot deployment over 12 months, covering all operating gold mines; Phase 1 (months 1–6) covering the development of the machine learning algorithms and the integration with the satellite imagery feeds; Phase 2 (months 7–12) covering the deployment of the blockchain audit platform and the operational testing. National rollout following the pilot, with the addition of manganese and bauxite operations. The estimated cost is USD 3–5 million for the national deployment, with annual operating costs of USD 0.8–1.2 million (driven principally by satellite imagery licences). The system should be procured through a consortium arrangement, with the satellite imagery providers (Planet Labs, European Space Agency), a machine learning specialist (e.g., Earth-i, Kayrros), and a blockchain platform provider (e.g., Hyperledger Fabric).</w:t>
      </w:r>
    </w:p>
    <w:p>
      <w:pPr>
        <w:spacing w:after="160" w:line="312"/>
        <w:ind w:firstLine="0"/>
        <w:jc w:val="both"/>
      </w:pPr>
      <w:r>
        <w:rPr>
          <w:rFonts w:ascii="Times New Roman"/>
          <w:color w:val="000000"/>
          <w:sz w:val="22"/>
          <w:szCs w:val="22"/>
        </w:rPr>
        <w:t xml:space="preserve">Benefits — Government: independent verification of operator-reported production, providing a check on royalty declarations; estimated revenue uplift of USD 20–30 million per annum (lower than Option A due to the lower precision of satellite-based estimation); reduced risk of corruption through the blockchain audit trail; transferable to other sectors (forestry, environment). Economic: lower cost than Option A; supports the development of a domestic earth observation and data analytics industry. ESG: independent monitoring supports transparency and community trust.</w:t>
      </w:r>
    </w:p>
    <w:p>
      <w:pPr>
        <w:pStyle w:val="Heading2"/>
        <w:spacing w:after="160" w:before="320" w:line="312"/>
      </w:pPr>
      <w:bookmarkStart w:name="_Toc45" w:id="45"/>
      <w:r>
        <w:rPr>
          <w:rFonts w:ascii="Calibri"/>
          <w:b/>
          <w:bCs/>
          <w:color w:val="0B2545"/>
          <w:sz w:val="28"/>
          <w:szCs w:val="28"/>
        </w:rPr>
        <w:t xml:space="preserve">6.3 ASM Formalisation and Traceability</w:t>
      </w:r>
      <w:bookmarkEnd w:id="45"/>
    </w:p>
    <w:p>
      <w:pPr>
        <w:pStyle w:val="Heading3"/>
        <w:spacing w:after="120" w:before="240" w:line="312"/>
      </w:pPr>
      <w:bookmarkStart w:name="_Toc46" w:id="46"/>
      <w:r>
        <w:rPr>
          <w:rFonts w:ascii="Calibri"/>
          <w:b/>
          <w:bCs/>
          <w:color w:val="1A2C45"/>
          <w:sz w:val="24"/>
          <w:szCs w:val="24"/>
        </w:rPr>
        <w:t xml:space="preserve">6.3.1 Option A: Impact Facility / Just Gold Mobile Traceability App</w:t>
      </w:r>
      <w:bookmarkEnd w:id="46"/>
    </w:p>
    <w:p>
      <w:pPr>
        <w:spacing w:after="160" w:line="312"/>
        <w:ind w:firstLine="0"/>
        <w:jc w:val="both"/>
      </w:pPr>
      <w:r>
        <w:rPr>
          <w:rFonts w:ascii="Times New Roman"/>
          <w:color w:val="000000"/>
          <w:sz w:val="22"/>
          <w:szCs w:val="22"/>
        </w:rPr>
        <w:t xml:space="preserve">The Impact Facility's Just Gold programme, implemented in the Democratic Republic of Congo since 2017, provides a model for mobile-based ASM traceability that can be adapted to the Côte d'Ivoire context. The system consists of: (i) a mobile application used by artisanal miners to record production at the mine site, with GPS coordinates, date, miner identification, and weight; (ii) a chain-of-custody platform, tracking the gold from mine-site to licensed gold-buying house to export, with each transfer recorded on a blockchain ledger; (iii) a payments platform, integrating with mobile money (Orange Money, MTN Mobile Money) to enable cashless payment to miners at fair prices.</w:t>
      </w:r>
    </w:p>
    <w:p>
      <w:pPr>
        <w:spacing w:after="160" w:line="312"/>
        <w:ind w:firstLine="0"/>
        <w:jc w:val="both"/>
      </w:pPr>
      <w:r>
        <w:rPr>
          <w:rFonts w:ascii="Times New Roman"/>
          <w:color w:val="000000"/>
          <w:sz w:val="22"/>
          <w:szCs w:val="22"/>
        </w:rPr>
        <w:t xml:space="preserve">Implementation pathway: pilot deployment in the Tortiya and Séguéla ASM regions over 18 months, with Phase 1 (months 1–6) covering the configuration of the mobile application, the establishment of licensed gold-buying houses, and the onboarding of approximately 1,000 artisanal miners; Phase 2 (months 7–12) covering the deployment of the blockchain chain-of-custody platform and the integration with the mobile money system; Phase 3 (months 13–18) covering the operational testing and the scaling to additional miners. National rollout over 24 months following the pilot, targeting 50,000 active miners by year 5. The estimated cost is USD 6–10 million for the national deployment, with annual operating costs of USD 1.5–2.0 million. Funding sources include the Global Environment Facility (GEF), the African Development Bank, and bilateral development partners.</w:t>
      </w:r>
    </w:p>
    <w:p>
      <w:pPr>
        <w:spacing w:after="160" w:line="312"/>
        <w:ind w:firstLine="0"/>
        <w:jc w:val="both"/>
      </w:pPr>
      <w:r>
        <w:rPr>
          <w:rFonts w:ascii="Times New Roman"/>
          <w:color w:val="000000"/>
          <w:sz w:val="22"/>
          <w:szCs w:val="22"/>
        </w:rPr>
        <w:t xml:space="preserve">Benefits — Government: estimated fiscal capture of USD 25–40 million per annum from formalised ASM gold (assuming a 50% formalisation rate and a 3% royalty on artisanal gold, against current near-zero fiscal capture); reduced smuggling through chain-of-custody tracking; improved data on ASM production supporting policy development. Economic: improved miner incomes (estimated 20–30% increase through fair pricing and elimination of intermediary rents); development of a formal ASM services industry; improved access to capital for formalised miners. ESG: reduced mercury use through integration with the mercury-free processing hubs (Chapter 6.3.2); reduced child labour through formalisation; improved community welfare.</w:t>
      </w:r>
    </w:p>
    <w:p>
      <w:pPr>
        <w:pStyle w:val="Heading3"/>
        <w:spacing w:after="120" w:before="240" w:line="312"/>
      </w:pPr>
      <w:bookmarkStart w:name="_Toc47" w:id="47"/>
      <w:r>
        <w:rPr>
          <w:rFonts w:ascii="Calibri"/>
          <w:b/>
          <w:bCs/>
          <w:color w:val="1A2C45"/>
          <w:sz w:val="24"/>
          <w:szCs w:val="24"/>
        </w:rPr>
        <w:t xml:space="preserve">6.3.2 Option B: Mercury-Free Processing Hub Network with Digital Cooperative Management</w:t>
      </w:r>
      <w:bookmarkEnd w:id="47"/>
    </w:p>
    <w:p>
      <w:pPr>
        <w:spacing w:after="160" w:line="312"/>
        <w:ind w:firstLine="0"/>
        <w:jc w:val="both"/>
      </w:pPr>
      <w:r>
        <w:rPr>
          <w:rFonts w:ascii="Times New Roman"/>
          <w:color w:val="000000"/>
          <w:sz w:val="22"/>
          <w:szCs w:val="22"/>
        </w:rPr>
        <w:t xml:space="preserve">A network of mercury-free processing hubs, operated as joint ventures between SODEMI, development partners (UNIDO, the GEF, the African Development Bank) and private operators, providing artisanal miners with access to clean processing technology in exchange for formalisation. The system consists of: (i) a network of approximately 20 processing hubs at strategic locations in the ASM regions, each equipped with gravimetric concentration equipment, cyanide vat leaching with closed-circuit mercury recovery, and borax smelting facilities; (ii) a digital cooperative management platform, managing miner membership, processing throughput, gold recovery, payment, and chain-of-custody tracking; (iii) integration with the mobile traceability app (Option A) to provide end-to-end traceability.</w:t>
      </w:r>
    </w:p>
    <w:p>
      <w:pPr>
        <w:spacing w:after="160" w:line="312"/>
        <w:ind w:firstLine="0"/>
        <w:jc w:val="both"/>
      </w:pPr>
      <w:r>
        <w:rPr>
          <w:rFonts w:ascii="Times New Roman"/>
          <w:color w:val="000000"/>
          <w:sz w:val="22"/>
          <w:szCs w:val="22"/>
        </w:rPr>
        <w:t xml:space="preserve">Implementation pathway: pilot deployment of 3 hubs over 24 months, with Phase 1 (months 1–12) covering the construction and commissioning of the first hub and the onboarding of approximately 1,000 artisanal miners; Phase 2 (months 13–24) covering the operational testing and the construction of the second and third hubs. National rollout over 36 months following the pilot, targeting 20 hubs by year 5. The estimated cost is USD 30–50 million for the national deployment (averaging USD 1.5–2.5 million per hub), with annual operating costs of USD 5–8 million. Funding sources include the GEF (which has a specific funding window for mercury reduction under the Minamata Convention), the African Development Bank, and bilateral development partners.</w:t>
      </w:r>
    </w:p>
    <w:p>
      <w:pPr>
        <w:spacing w:after="160" w:line="312"/>
        <w:ind w:firstLine="0"/>
        <w:jc w:val="both"/>
      </w:pPr>
      <w:r>
        <w:rPr>
          <w:rFonts w:ascii="Times New Roman"/>
          <w:color w:val="000000"/>
          <w:sz w:val="22"/>
          <w:szCs w:val="22"/>
        </w:rPr>
        <w:t xml:space="preserve">Benefits — Government: estimated 70–90% reduction in mercury use in ASM (with associated public health benefits); estimated fiscal capture of USD 40–60 million per annum (higher than Option A due to the higher throughput of the processing hubs); reduced environmental contamination; progress toward Minamata Convention targets. Economic: development of a domestic clean-technology industry; employment creation (approximately 200–300 jobs per hub); improved gold recovery (estimated 15–25% improvement over artisanal processing). ESG: material reduction in mercury use, supporting public health and environmental protection; improved working conditions; improved community welfare.</w:t>
      </w:r>
    </w:p>
    <w:p>
      <w:pPr>
        <w:pStyle w:val="Heading2"/>
        <w:spacing w:after="160" w:before="320" w:line="312"/>
      </w:pPr>
      <w:bookmarkStart w:name="_Toc48" w:id="48"/>
      <w:r>
        <w:rPr>
          <w:rFonts w:ascii="Calibri"/>
          <w:b/>
          <w:bCs/>
          <w:color w:val="0B2545"/>
          <w:sz w:val="28"/>
          <w:szCs w:val="28"/>
        </w:rPr>
        <w:t xml:space="preserve">6.4 Environmental Monitoring</w:t>
      </w:r>
      <w:bookmarkEnd w:id="48"/>
    </w:p>
    <w:p>
      <w:pPr>
        <w:pStyle w:val="Heading3"/>
        <w:spacing w:after="120" w:before="240" w:line="312"/>
      </w:pPr>
      <w:bookmarkStart w:name="_Toc49" w:id="49"/>
      <w:r>
        <w:rPr>
          <w:rFonts w:ascii="Calibri"/>
          <w:b/>
          <w:bCs/>
          <w:color w:val="1A2C45"/>
          <w:sz w:val="24"/>
          <w:szCs w:val="24"/>
        </w:rPr>
        <w:t xml:space="preserve">6.4.1 Option A: Satellite Remote Sensing with AI Deforestation and Water-Quality Monitoring</w:t>
      </w:r>
      <w:bookmarkEnd w:id="49"/>
    </w:p>
    <w:p>
      <w:pPr>
        <w:spacing w:after="160" w:line="312"/>
        <w:ind w:firstLine="0"/>
        <w:jc w:val="both"/>
      </w:pPr>
      <w:r>
        <w:rPr>
          <w:rFonts w:ascii="Times New Roman"/>
          <w:color w:val="000000"/>
          <w:sz w:val="22"/>
          <w:szCs w:val="22"/>
        </w:rPr>
        <w:t xml:space="preserve">Satellite remote sensing with AI-based analytics, integrated with CIAPOL's environmental monitoring function, provides the government with independent monitoring of mining-sector environmental impacts. The system consists of: (i) daily high-resolution satellite imagery (Planet Labs' PlanetScope, 3-metre resolution, daily revisit), multispectral imagery (Sentinel-2, 10-metre resolution, 5-day revisit), and radar imagery (Sentinel-1, 10-metre resolution, 6-day revisit); (ii) machine learning algorithms, trained on labelled historical data, to detect deforestation events, water-quality anomalies, tailings dam changes, and other environmental impacts; (iii) a CIAPOL dashboard, providing near-real-time alerts of detected events and integrating with the mine inspection workflow.</w:t>
      </w:r>
    </w:p>
    <w:p>
      <w:pPr>
        <w:spacing w:after="160" w:line="312"/>
        <w:ind w:firstLine="0"/>
        <w:jc w:val="both"/>
      </w:pPr>
      <w:r>
        <w:rPr>
          <w:rFonts w:ascii="Times New Roman"/>
          <w:color w:val="000000"/>
          <w:sz w:val="22"/>
          <w:szCs w:val="22"/>
        </w:rPr>
        <w:t xml:space="preserve">Implementation pathway: pilot deployment over 12 months, covering the principal mining regions (Bafing, Cavally, Tchologo, Worodougou); Phase 1 (months 1–6) covering the procurement of satellite imagery feeds, the development and training of the machine learning algorithms, and the integration with the CIAPOL dashboard; Phase 2 (months 7–12) covering the operational testing and the integration with the mine inspection workflow. National rollout following the pilot. The estimated cost is USD 3–5 million for the national deployment, with annual operating costs of USD 0.8–1.2 million (driven principally by satellite imagery licences and machine learning model maintenance). The system should be procured through a consortium arrangement, with satellite imagery providers and a machine learning specialist.</w:t>
      </w:r>
    </w:p>
    <w:p>
      <w:pPr>
        <w:spacing w:after="160" w:line="312"/>
        <w:ind w:firstLine="0"/>
        <w:jc w:val="both"/>
      </w:pPr>
      <w:r>
        <w:rPr>
          <w:rFonts w:ascii="Times New Roman"/>
          <w:color w:val="000000"/>
          <w:sz w:val="22"/>
          <w:szCs w:val="22"/>
        </w:rPr>
        <w:t xml:space="preserve">Benefits — Government: independent monitoring of environmental compliance, reducing reliance on operator self-reporting; estimated 70–90% reduction in undetected environmental incidents; improved credibility of the regulatory regime. Economic: reduced environmental remediation costs; improved access to international capital (which increasingly requires ESG due diligence). ESG: material improvement in environmental protection, supporting biodiversity, water quality, and climate resilience.</w:t>
      </w:r>
    </w:p>
    <w:p>
      <w:pPr>
        <w:pStyle w:val="Heading3"/>
        <w:spacing w:after="120" w:before="240" w:line="312"/>
      </w:pPr>
      <w:bookmarkStart w:name="_Toc50" w:id="50"/>
      <w:r>
        <w:rPr>
          <w:rFonts w:ascii="Calibri"/>
          <w:b/>
          <w:bCs/>
          <w:color w:val="1A2C45"/>
          <w:sz w:val="24"/>
          <w:szCs w:val="24"/>
        </w:rPr>
        <w:t xml:space="preserve">6.4.2 Option B: Distributed IoT Sensor Network with Real-Time CIAPOL Dashboard</w:t>
      </w:r>
      <w:bookmarkEnd w:id="50"/>
    </w:p>
    <w:p>
      <w:pPr>
        <w:spacing w:after="160" w:line="312"/>
        <w:ind w:firstLine="0"/>
        <w:jc w:val="both"/>
      </w:pPr>
      <w:r>
        <w:rPr>
          <w:rFonts w:ascii="Times New Roman"/>
          <w:color w:val="000000"/>
          <w:sz w:val="22"/>
          <w:szCs w:val="22"/>
        </w:rPr>
        <w:t xml:space="preserve">A distributed IoT sensor network, covering air quality, water quality, noise, and meteorological parameters, integrated with a real-time CIAPOL dashboard, provides the government with continuous ground-based monitoring of mining-sector environmental impacts. The system consists of: (i) approximately 200–300 sensor stations deployed at mining operations, ASM areas, and downstream water bodies, each measuring air quality (PM2.5, PM10, NO₂, SO₂), water quality (pH, conductivity, dissolved oxygen, turbidity, mercury, cyanide), noise, and meteorology; (ii) a low-power wide-area network (LPWAN) for data transmission, using LoRaWAN or NB-IoT technology; (iii) a real-time CIAPOL dashboard, providing alerts of exceedances, trends analysis, and integration with the regulatory enforcement workflow.</w:t>
      </w:r>
    </w:p>
    <w:p>
      <w:pPr>
        <w:spacing w:after="160" w:line="312"/>
        <w:ind w:firstLine="0"/>
        <w:jc w:val="both"/>
      </w:pPr>
      <w:r>
        <w:rPr>
          <w:rFonts w:ascii="Times New Roman"/>
          <w:color w:val="000000"/>
          <w:sz w:val="22"/>
          <w:szCs w:val="22"/>
        </w:rPr>
        <w:t xml:space="preserve">Implementation pathway: pilot deployment over 18 months, covering the Ity, Yaouré, Sissingué and Séguéla operations; Phase 1 (months 1–8) covering the procurement and installation of the sensor stations, the establishment of the LPWAN, and the development of the CIAPOL dashboard; Phase 2 (months 9–18) covering the operational testing and the expansion to additional operations and ASM areas. National rollout over 24 months following the pilot. The estimated cost is USD 8–12 million for the national deployment, with annual operating costs of USD 1.5–2.5 million (driven principally by sensor maintenance and replacement). The system should be procured through a competitive tender, with sensor vendors including Campbell Scientific, Libelium, and Eijkelkamp, and the platform developed by a local software integrator.</w:t>
      </w:r>
    </w:p>
    <w:p>
      <w:pPr>
        <w:spacing w:after="160" w:line="312"/>
        <w:ind w:firstLine="0"/>
        <w:jc w:val="both"/>
      </w:pPr>
      <w:r>
        <w:rPr>
          <w:rFonts w:ascii="Times New Roman"/>
          <w:color w:val="000000"/>
          <w:sz w:val="22"/>
          <w:szCs w:val="22"/>
        </w:rPr>
        <w:t xml:space="preserve">Benefits — Government: continuous real-time monitoring of environmental parameters, providing early warning of environmental incidents; improved enforcement capacity through evidence-based alerts; estimated 50–70% reduction in undetected environmental incidents. Economic: reduced environmental remediation costs; improved access to international capital. ESG: material improvement in environmental protection, with particular benefits for water quality, air quality, and community health.</w:t>
      </w:r>
    </w:p>
    <w:p>
      <w:pPr>
        <w:pStyle w:val="Heading2"/>
        <w:spacing w:after="160" w:before="320" w:line="312"/>
      </w:pPr>
      <w:bookmarkStart w:name="_Toc51" w:id="51"/>
      <w:r>
        <w:rPr>
          <w:rFonts w:ascii="Calibri"/>
          <w:b/>
          <w:bCs/>
          <w:color w:val="0B2545"/>
          <w:sz w:val="28"/>
          <w:szCs w:val="28"/>
        </w:rPr>
        <w:t xml:space="preserve">6.5 Community Engagement and Grievance Mechanism</w:t>
      </w:r>
      <w:bookmarkEnd w:id="51"/>
    </w:p>
    <w:p>
      <w:pPr>
        <w:pStyle w:val="Heading3"/>
        <w:spacing w:after="120" w:before="240" w:line="312"/>
      </w:pPr>
      <w:bookmarkStart w:name="_Toc52" w:id="52"/>
      <w:r>
        <w:rPr>
          <w:rFonts w:ascii="Calibri"/>
          <w:b/>
          <w:bCs/>
          <w:color w:val="1A2C45"/>
          <w:sz w:val="24"/>
          <w:szCs w:val="24"/>
        </w:rPr>
        <w:t xml:space="preserve">6.5.1 Option A: Mobile-First Multilingual Grievance Platform (Ushahidi-Based)</w:t>
      </w:r>
      <w:bookmarkEnd w:id="52"/>
    </w:p>
    <w:p>
      <w:pPr>
        <w:spacing w:after="160" w:line="312"/>
        <w:ind w:firstLine="0"/>
        <w:jc w:val="both"/>
      </w:pPr>
      <w:r>
        <w:rPr>
          <w:rFonts w:ascii="Times New Roman"/>
          <w:color w:val="000000"/>
          <w:sz w:val="22"/>
          <w:szCs w:val="22"/>
        </w:rPr>
        <w:t xml:space="preserve">A mobile-first multilingual grievance platform, based on the Ushahidi open-source platform, provides communities with a direct channel for raising concerns with operators and with the Ministry of Mines. The system consists of: (i) a mobile application, available in French, Dioula, Baoulé, and Bété, supporting voice, SMS, and data submission of grievances; (ii) a web-based dashboard for operators and the Ministry, providing grievance intake, classification, tracking, and resolution management; (iii) an analytics module, providing trend analysis of grievances and integration with the EITI reporting platform. The Ushahidi platform has been deployed in over 160 countries for community engagement, including in extractive sector applications in Peru, Mongolia, and the Democratic Republic of Congo.</w:t>
      </w:r>
    </w:p>
    <w:p>
      <w:pPr>
        <w:spacing w:after="160" w:line="312"/>
        <w:ind w:firstLine="0"/>
        <w:jc w:val="both"/>
      </w:pPr>
      <w:r>
        <w:rPr>
          <w:rFonts w:ascii="Times New Roman"/>
          <w:color w:val="000000"/>
          <w:sz w:val="22"/>
          <w:szCs w:val="22"/>
        </w:rPr>
        <w:t xml:space="preserve">Implementation pathway: pilot deployment at three operating mines over 12 months, with Phase 1 (months 1–6) covering the configuration of the platform, the onboarding of the operators and the Ministry, and the establishment of the grievance handling workflow; Phase 2 (months 7–12) covering the operational testing and the scaling to additional operations. National rollout over 18 months following the pilot. The estimated cost is USD 1.0–1.5 million for the national deployment, with annual operating costs of USD 0.3–0.5 million. The system should be hosted on national cloud infrastructure and operated by a local civil society organisation consortium, with oversight by the Ministry of Mines and the EITI multi-stakeholder group.</w:t>
      </w:r>
    </w:p>
    <w:p>
      <w:pPr>
        <w:spacing w:after="160" w:line="312"/>
        <w:ind w:firstLine="0"/>
        <w:jc w:val="both"/>
      </w:pPr>
      <w:r>
        <w:rPr>
          <w:rFonts w:ascii="Times New Roman"/>
          <w:color w:val="000000"/>
          <w:sz w:val="22"/>
          <w:szCs w:val="22"/>
        </w:rPr>
        <w:t xml:space="preserve">Benefits — Government: improved community trust through transparent grievance handling; reduced risk of community-related operational disruption; improved data on community concerns supporting policy development. Economic: reduced risk of operational disruption (estimated USD 5–15 million per annum in avoided production losses); improved investment climate through community trust. ESG: material improvement in community relations, supporting social licence; improved accountability of operators and the Ministry.</w:t>
      </w:r>
    </w:p>
    <w:p>
      <w:pPr>
        <w:pStyle w:val="Heading3"/>
        <w:spacing w:after="120" w:before="240" w:line="312"/>
      </w:pPr>
      <w:bookmarkStart w:name="_Toc53" w:id="53"/>
      <w:r>
        <w:rPr>
          <w:rFonts w:ascii="Calibri"/>
          <w:b/>
          <w:bCs/>
          <w:color w:val="1A2C45"/>
          <w:sz w:val="24"/>
          <w:szCs w:val="24"/>
        </w:rPr>
        <w:t xml:space="preserve">6.5.2 Option B: AI Natural Language Processing Analysis of Social Media and Community Feedback</w:t>
      </w:r>
      <w:bookmarkEnd w:id="53"/>
    </w:p>
    <w:p>
      <w:pPr>
        <w:spacing w:after="160" w:line="312"/>
        <w:ind w:firstLine="0"/>
        <w:jc w:val="both"/>
      </w:pPr>
      <w:r>
        <w:rPr>
          <w:rFonts w:ascii="Times New Roman"/>
          <w:color w:val="000000"/>
          <w:sz w:val="22"/>
          <w:szCs w:val="22"/>
        </w:rPr>
        <w:t xml:space="preserve">AI natural language processing (NLP) analysis of social media, radio, and community feedback provides the government and operators with near-real-time intelligence on community sentiment and emerging issues. The system consists of: (i) data collection from social media platforms (Facebook, Twitter, WhatsApp groups), radio broadcasts (with speech-to-text), and structured community feedback; (ii) NLP analysis, using language models trained on the relevant local languages, to detect sentiment, identify emerging issues, and classify grievances; (iii) a dashboard for operators and the Ministry, providing trend analysis and early warning of emerging issues.</w:t>
      </w:r>
    </w:p>
    <w:p>
      <w:pPr>
        <w:spacing w:after="160" w:line="312"/>
        <w:ind w:firstLine="0"/>
        <w:jc w:val="both"/>
      </w:pPr>
      <w:r>
        <w:rPr>
          <w:rFonts w:ascii="Times New Roman"/>
          <w:color w:val="000000"/>
          <w:sz w:val="22"/>
          <w:szCs w:val="22"/>
        </w:rPr>
        <w:t xml:space="preserve">Implementation pathway: pilot deployment over 12 months, covering the principal mining regions; Phase 1 (months 1–6) covering the development of the NLP models for French and Dioula, the integration with social media and radio data sources, and the development of the dashboard; Phase 2 (months 7–12) covering the operational testing and the refinement of the NLP models. National rollout following the pilot. The estimated cost is USD 1.5–2.5 million for the national deployment, with annual operating costs of USD 0.5–0.8 million. The system should be implemented by a specialist NLP/AI provider (e.g., Gramener, Indigo.ai, or a local AI startup) with strong data governance safeguards.</w:t>
      </w:r>
    </w:p>
    <w:p>
      <w:pPr>
        <w:spacing w:after="160" w:line="312"/>
        <w:ind w:firstLine="0"/>
        <w:jc w:val="both"/>
      </w:pPr>
      <w:r>
        <w:rPr>
          <w:rFonts w:ascii="Times New Roman"/>
          <w:color w:val="000000"/>
          <w:sz w:val="22"/>
          <w:szCs w:val="22"/>
        </w:rPr>
        <w:t xml:space="preserve">Benefits — Government: early warning of emerging community issues, supporting proactive intervention; improved data on community sentiment; integration with the grievance platform (Option A) for end-to-end community intelligence. Economic: reduced risk of operational disruption; improved investment climate. ESG: improved community relations through early intervention; improved accountability of operators.</w:t>
      </w:r>
    </w:p>
    <w:p>
      <w:pPr>
        <w:pStyle w:val="Heading2"/>
        <w:spacing w:after="160" w:before="320" w:line="312"/>
      </w:pPr>
      <w:bookmarkStart w:name="_Toc54" w:id="54"/>
      <w:r>
        <w:rPr>
          <w:rFonts w:ascii="Calibri"/>
          <w:b/>
          <w:bCs/>
          <w:color w:val="0B2545"/>
          <w:sz w:val="28"/>
          <w:szCs w:val="28"/>
        </w:rPr>
        <w:t xml:space="preserve">6.6 Mine Safety and Closure Oversight</w:t>
      </w:r>
      <w:bookmarkEnd w:id="54"/>
    </w:p>
    <w:p>
      <w:pPr>
        <w:pStyle w:val="Heading3"/>
        <w:spacing w:after="120" w:before="240" w:line="312"/>
      </w:pPr>
      <w:bookmarkStart w:name="_Toc55" w:id="55"/>
      <w:r>
        <w:rPr>
          <w:rFonts w:ascii="Calibri"/>
          <w:b/>
          <w:bCs/>
          <w:color w:val="1A2C45"/>
          <w:sz w:val="24"/>
          <w:szCs w:val="24"/>
        </w:rPr>
        <w:t xml:space="preserve">6.6.1 Option A: Digital Twin of Mine Sites for Closure Planning and Bond Audit</w:t>
      </w:r>
      <w:bookmarkEnd w:id="55"/>
    </w:p>
    <w:p>
      <w:pPr>
        <w:spacing w:after="160" w:line="312"/>
        <w:ind w:firstLine="0"/>
        <w:jc w:val="both"/>
      </w:pPr>
      <w:r>
        <w:rPr>
          <w:rFonts w:ascii="Times New Roman"/>
          <w:color w:val="000000"/>
          <w:sz w:val="22"/>
          <w:szCs w:val="22"/>
        </w:rPr>
        <w:t xml:space="preserve">Digital twin technology, using Bentley Systems' iTwin platform or equivalent, provides the government with a comprehensive 3D digital model of each operating mine site, integrating geological, geotechnical, hydrological, and operational data. The digital twin supports closure planning (through simulation of closure scenarios), bond audit (through independent verification of closure cost estimates), and operational oversight (through real-time integration with mine sensor data). The technology has been implemented by major mining companies (Rio Tinto, BHP, Anglo American) and is being adopted by regulators in Australia and Canada for closure bond audit.</w:t>
      </w:r>
    </w:p>
    <w:p>
      <w:pPr>
        <w:spacing w:after="160" w:line="312"/>
        <w:ind w:firstLine="0"/>
        <w:jc w:val="both"/>
      </w:pPr>
      <w:r>
        <w:rPr>
          <w:rFonts w:ascii="Times New Roman"/>
          <w:color w:val="000000"/>
          <w:sz w:val="22"/>
          <w:szCs w:val="22"/>
        </w:rPr>
        <w:t xml:space="preserve">Implementation pathway: pilot deployment at the Ity mine over 18 months, with Phase 1 (months 1–8) covering the development of the digital twin using existing geological, geotechnical, and operational data; Phase 2 (months 9–18) covering the integration with mine sensor data, the development of closure planning scenarios, and the operational testing. National rollout over 36 months following the pilot, with deployment at all operating mines. The estimated cost is USD 8–12 million for the national deployment (averaging USD 1.0–1.5 million per mine), with annual operating costs of USD 1.5–2.5 million. The system should be procured through a competitive tender, with implementation by Bentley Systems or an equivalent digital twin provider.</w:t>
      </w:r>
    </w:p>
    <w:p>
      <w:pPr>
        <w:spacing w:after="160" w:line="312"/>
        <w:ind w:firstLine="0"/>
        <w:jc w:val="both"/>
      </w:pPr>
      <w:r>
        <w:rPr>
          <w:rFonts w:ascii="Times New Roman"/>
          <w:color w:val="000000"/>
          <w:sz w:val="22"/>
          <w:szCs w:val="22"/>
        </w:rPr>
        <w:t xml:space="preserve">Benefits — Government: independent verification of closure cost estimates, supporting bond calculation and reducing the closure liability gap; improved closure planning through scenario simulation; reduced risk of post-closure environmental and safety incidents. Economic: estimated USD 100–200 million reduction in uncovered closure liability over the 2030s closure wave; reduced post-closure remediation costs. ESG: improved closure outcomes, supporting environmental protection and community welfare.</w:t>
      </w:r>
    </w:p>
    <w:p>
      <w:pPr>
        <w:pStyle w:val="Heading3"/>
        <w:spacing w:after="120" w:before="240" w:line="312"/>
      </w:pPr>
      <w:bookmarkStart w:name="_Toc56" w:id="56"/>
      <w:r>
        <w:rPr>
          <w:rFonts w:ascii="Calibri"/>
          <w:b/>
          <w:bCs/>
          <w:color w:val="1A2C45"/>
          <w:sz w:val="24"/>
          <w:szCs w:val="24"/>
        </w:rPr>
        <w:t xml:space="preserve">6.6.2 Option B: Drone and LiDAR Monitoring of Slope Stability and Tailings Dams</w:t>
      </w:r>
      <w:bookmarkEnd w:id="56"/>
    </w:p>
    <w:p>
      <w:pPr>
        <w:spacing w:after="160" w:line="312"/>
        <w:ind w:firstLine="0"/>
        <w:jc w:val="both"/>
      </w:pPr>
      <w:r>
        <w:rPr>
          <w:rFonts w:ascii="Times New Roman"/>
          <w:color w:val="000000"/>
          <w:sz w:val="22"/>
          <w:szCs w:val="22"/>
        </w:rPr>
        <w:t xml:space="preserve">Drone-based photogrammetry and LiDAR monitoring, integrated with the Ministry of Mines' inspection function, provides the government with independent monitoring of slope stability at open-pit mines and tailings dam integrity at all operating mines. The system consists of: (i) regular drone surveys (monthly or quarterly) of open-pit slopes and tailings dams, producing high-resolution 3D models; (ii) automated change detection, comparing successive surveys to detect slope movement, seepage, or other anomalies; (iii) integration with the regulatory inspection workflow, providing alerts of detected changes.</w:t>
      </w:r>
    </w:p>
    <w:p>
      <w:pPr>
        <w:spacing w:after="160" w:line="312"/>
        <w:ind w:firstLine="0"/>
        <w:jc w:val="both"/>
      </w:pPr>
      <w:r>
        <w:rPr>
          <w:rFonts w:ascii="Times New Roman"/>
          <w:color w:val="000000"/>
          <w:sz w:val="22"/>
          <w:szCs w:val="22"/>
        </w:rPr>
        <w:t xml:space="preserve">Implementation pathway: pilot deployment over 12 months, covering the principal open-pit mines and tailings dams; Phase 1 (months 1–6) covering the procurement of drone equipment, the training of inspection staff, and the development of the change detection algorithms; Phase 2 (months 7–12) covering the operational testing and the integration with the inspection workflow. National rollout over 18 months following the pilot. The estimated cost is USD 2–4 million for the national deployment, with annual operating costs of USD 0.6–0.9 million. The system should be implemented by a local drone services provider (with technical training of Ministry of Mines inspection staff) or through a managed services contract with an international provider.</w:t>
      </w:r>
    </w:p>
    <w:p>
      <w:pPr>
        <w:spacing w:after="160" w:line="312"/>
        <w:ind w:firstLine="0"/>
        <w:jc w:val="both"/>
      </w:pPr>
      <w:r>
        <w:rPr>
          <w:rFonts w:ascii="Times New Roman"/>
          <w:color w:val="000000"/>
          <w:sz w:val="22"/>
          <w:szCs w:val="22"/>
        </w:rPr>
        <w:t xml:space="preserve">Benefits — Government: independent monitoring of slope stability and tailings dam integrity, reducing reliance on operator self-reporting; estimated 60–80% reduction in undetected geotechnical anomalies; improved regulatory oversight of mine safety. Economic: reduced risk of catastrophic incidents (with associated fiscal and reputational consequences); reduced post-closure remediation costs. ESG: improved mine safety, supporting worker and community welfare; reduced risk of tailings dam incidents.</w:t>
      </w:r>
    </w:p>
    <w:p>
      <w:pPr>
        <w:pStyle w:val="Heading2"/>
        <w:spacing w:after="160" w:before="320" w:line="312"/>
      </w:pPr>
      <w:bookmarkStart w:name="_Toc57" w:id="57"/>
      <w:r>
        <w:rPr>
          <w:rFonts w:ascii="Calibri"/>
          <w:b/>
          <w:bCs/>
          <w:color w:val="0B2545"/>
          <w:sz w:val="28"/>
          <w:szCs w:val="28"/>
        </w:rPr>
        <w:t xml:space="preserve">6.7 Geodata Management and Predictive Exploration</w:t>
      </w:r>
      <w:bookmarkEnd w:id="57"/>
    </w:p>
    <w:p>
      <w:pPr>
        <w:pStyle w:val="Heading3"/>
        <w:spacing w:after="120" w:before="240" w:line="312"/>
      </w:pPr>
      <w:bookmarkStart w:name="_Toc58" w:id="58"/>
      <w:r>
        <w:rPr>
          <w:rFonts w:ascii="Calibri"/>
          <w:b/>
          <w:bCs/>
          <w:color w:val="1A2C45"/>
          <w:sz w:val="24"/>
          <w:szCs w:val="24"/>
        </w:rPr>
        <w:t xml:space="preserve">6.7.1 Option A: National Digital Geological Database (BRGM Geotic Style)</w:t>
      </w:r>
      <w:bookmarkEnd w:id="58"/>
    </w:p>
    <w:p>
      <w:pPr>
        <w:spacing w:after="160" w:line="312"/>
        <w:ind w:firstLine="0"/>
        <w:jc w:val="both"/>
      </w:pPr>
      <w:r>
        <w:rPr>
          <w:rFonts w:ascii="Times New Roman"/>
          <w:color w:val="000000"/>
          <w:sz w:val="22"/>
          <w:szCs w:val="22"/>
        </w:rPr>
        <w:t xml:space="preserve">A national digital geological database, modelled on the French Bureau de Recherches Géologiques et Minières (BRGM) Geotic platform, provides the government with a comprehensive digital repository of geological, geophysical, geochemical, and mineral occurrence data for the national territory. The system consists of: (i) a national geological database, integrating historical exploration data (from BRGM, SODEMI, and private operators), geological mapping, geophysical surveys, geochemical surveys, and mineral occurrence data; (ii) a web-based portal, providing access to the data for licensed users (government, operators, researchers); (iii) integration with the mining cadastre system (Chapter 6.1) and with the EITI reporting platform.</w:t>
      </w:r>
    </w:p>
    <w:p>
      <w:pPr>
        <w:spacing w:after="160" w:line="312"/>
        <w:ind w:firstLine="0"/>
        <w:jc w:val="both"/>
      </w:pPr>
      <w:r>
        <w:rPr>
          <w:rFonts w:ascii="Times New Roman"/>
          <w:color w:val="000000"/>
          <w:sz w:val="22"/>
          <w:szCs w:val="22"/>
        </w:rPr>
        <w:t xml:space="preserve">Implementation pathway: phased deployment over 30 months, with Phase 1 (months 1–12) covering the data inventory and migration of historical data, the development of the database schema, and the development of the web portal; Phase 2 (months 13–24) covering the integration with the mining cadastre and EITI platforms, the onboarding of users, and the operational testing; Phase 3 (months 25–30) covering the addition of advanced functionality (3D geological modelling, mineral potential mapping). The estimated cost is USD 5–7 million for the initial deployment, with annual operating costs of USD 0.8–1.2 million. The system should be hosted on national cloud infrastructure, with implementation by a consortium including BRGM (for technical guidance), SODEMI (for data ownership), and a local software integrator.</w:t>
      </w:r>
    </w:p>
    <w:p>
      <w:pPr>
        <w:spacing w:after="160" w:line="312"/>
        <w:ind w:firstLine="0"/>
        <w:jc w:val="both"/>
      </w:pPr>
      <w:r>
        <w:rPr>
          <w:rFonts w:ascii="Times New Roman"/>
          <w:color w:val="000000"/>
          <w:sz w:val="22"/>
          <w:szCs w:val="22"/>
        </w:rPr>
        <w:t xml:space="preserve">Benefits — Government: improved data supporting evidence-based policy; increased exploration investment through improved data accessibility (estimated USD 80–120 million in additional exploration expenditure over 5 years); improved royalty assessment through better understanding of deposit characteristics. Economic: increased exploration investment; development of a domestic geoscience services industry; improved attractiveness of the jurisdiction to international explorers. ESG: improved environmental planning through better geological data; reduced risk of exploration in protected areas.</w:t>
      </w:r>
    </w:p>
    <w:p>
      <w:pPr>
        <w:pStyle w:val="Heading3"/>
        <w:spacing w:after="120" w:before="240" w:line="312"/>
      </w:pPr>
      <w:bookmarkStart w:name="_Toc59" w:id="59"/>
      <w:r>
        <w:rPr>
          <w:rFonts w:ascii="Calibri"/>
          <w:b/>
          <w:bCs/>
          <w:color w:val="1A2C45"/>
          <w:sz w:val="24"/>
          <w:szCs w:val="24"/>
        </w:rPr>
        <w:t xml:space="preserve">6.7.2 Option B: AI-Driven Predictive Exploration Platform (GoldSpot / Earth AI Style)</w:t>
      </w:r>
      <w:bookmarkEnd w:id="59"/>
    </w:p>
    <w:p>
      <w:pPr>
        <w:spacing w:after="160" w:line="312"/>
        <w:ind w:firstLine="0"/>
        <w:jc w:val="both"/>
      </w:pPr>
      <w:r>
        <w:rPr>
          <w:rFonts w:ascii="Times New Roman"/>
          <w:color w:val="000000"/>
          <w:sz w:val="22"/>
          <w:szCs w:val="22"/>
        </w:rPr>
        <w:t xml:space="preserve">AI-driven predictive exploration, modelled on the platforms developed by GoldSpot Discoveries (now GoGold Resources) and Earth AI, uses machine learning to integrate geological, geophysical, geochemical, and remote sensing data to predict mineral occurrences. The system consists of: (i) machine learning models, trained on global and regional mineral occurrence data, applied to the Côte d'Ivoire national data; (ii) mineral potential maps, ranking areas by predicted mineral potential; (iii) integration with the mining cadastre system (Chapter 6.1) and with the National Digital Geological Database (Option A), providing targeted exploration guidance for licensed operators.</w:t>
      </w:r>
    </w:p>
    <w:p>
      <w:pPr>
        <w:spacing w:after="160" w:line="312"/>
        <w:ind w:firstLine="0"/>
        <w:jc w:val="both"/>
      </w:pPr>
      <w:r>
        <w:rPr>
          <w:rFonts w:ascii="Times New Roman"/>
          <w:color w:val="000000"/>
          <w:sz w:val="22"/>
          <w:szCs w:val="22"/>
        </w:rPr>
        <w:t xml:space="preserve">Implementation pathway: pilot deployment over 18 months, focusing on the Birimian greenstone belts of the western and northern regions; Phase 1 (months 1–9) covering the development of the machine learning models, the integration with the geological database, and the production of the first mineral potential maps; Phase 2 (months 10–18) covering the refinement of the models, the operational testing, and the integration with the mining cadastre. National rollout over 24 months following the pilot. The estimated cost is USD 4–6 million for the initial deployment, with annual operating costs of USD 0.8–1.2 million. The system should be implemented by a specialist AI/ML provider (e.g., GoldSpot, Earth AI, or a local AI startup) in partnership with SODEMI.</w:t>
      </w:r>
    </w:p>
    <w:p>
      <w:pPr>
        <w:spacing w:after="160" w:line="312"/>
        <w:ind w:firstLine="0"/>
        <w:jc w:val="both"/>
      </w:pPr>
      <w:r>
        <w:rPr>
          <w:rFonts w:ascii="Times New Roman"/>
          <w:color w:val="000000"/>
          <w:sz w:val="22"/>
          <w:szCs w:val="22"/>
        </w:rPr>
        <w:t xml:space="preserve">Benefits — Government: improved targeting of exploration investment, supporting the attraction of quality explorers; estimated 30–50% increase in exploration success rates (based on comparator experience); reduced risk of low-quality exploration permits. Economic: increased exploration investment (estimated USD 100–150 million over 5 years, in addition to Option A); increased probability of major discoveries; development of a domestic AI/ML industry. ESG: more efficient exploration reduces environmental footprint; targeted exploration avoids protected areas.</w:t>
      </w:r>
    </w:p>
    <w:p>
      <w:pPr>
        <w:pStyle w:val="Heading1"/>
        <w:spacing w:after="240" w:before="480" w:line="360"/>
      </w:pPr>
      <w:bookmarkStart w:name="_Toc60" w:id="60"/>
      <w:r>
        <w:rPr>
          <w:rFonts w:ascii="Calibri"/>
          <w:b/>
          <w:bCs/>
          <w:color w:val="0B2545"/>
          <w:sz w:val="32"/>
          <w:szCs w:val="32"/>
        </w:rPr>
        <w:t xml:space="preserve">7. Process-Improving Technologies</w:t>
      </w:r>
      <w:bookmarkEnd w:id="60"/>
    </w:p>
    <w:p>
      <w:pPr>
        <w:spacing w:after="160" w:line="312"/>
        <w:ind w:firstLine="0"/>
        <w:jc w:val="both"/>
      </w:pPr>
      <w:r>
        <w:rPr>
          <w:rFonts w:ascii="Times New Roman"/>
          <w:color w:val="000000"/>
          <w:sz w:val="22"/>
          <w:szCs w:val="22"/>
        </w:rPr>
        <w:t xml:space="preserve">Beyond the seven core digital solutions presented in Chapter 6, a number of process-improving technologies can support the modernisation and efficiency of the Côte d'Ivoire mining sector. This chapter briefly catalogues these technologies, with reference to their applicability in the Ivorian context.</w:t>
      </w:r>
    </w:p>
    <w:p>
      <w:pPr>
        <w:pStyle w:val="Heading2"/>
        <w:spacing w:after="160" w:before="320" w:line="312"/>
      </w:pPr>
      <w:bookmarkStart w:name="_Toc61" w:id="61"/>
      <w:r>
        <w:rPr>
          <w:rFonts w:ascii="Calibri"/>
          <w:b/>
          <w:bCs/>
          <w:color w:val="0B2545"/>
          <w:sz w:val="28"/>
          <w:szCs w:val="28"/>
        </w:rPr>
        <w:t xml:space="preserve">7.1 Blockchain-Based Mineral Traceability</w:t>
      </w:r>
      <w:bookmarkEnd w:id="61"/>
    </w:p>
    <w:p>
      <w:pPr>
        <w:spacing w:after="160" w:line="312"/>
        <w:ind w:firstLine="0"/>
        <w:jc w:val="both"/>
      </w:pPr>
      <w:r>
        <w:rPr>
          <w:rFonts w:ascii="Times New Roman"/>
          <w:color w:val="000000"/>
          <w:sz w:val="22"/>
          <w:szCs w:val="22"/>
        </w:rPr>
        <w:t xml:space="preserve">Blockchain technology provides a tamper-evident distributed ledger for tracking minerals through the supply chain, from mine to export to end-user. The application in the Côte d'Ivoire context is primarily for ASM gold (where the chain-of-custody challenges are greatest) and for critical minerals destined for the European Union (where the Corporate Sustainability Due Diligence Directive, in force from 2027, requires due diligence on the supply chain of imported minerals). The principal blockchain platforms for mineral traceability are the Responsible Sourcing Blockchain Network (RSBN), the Re|Source platform (a consortium of major mining companies including Glencore, Antofagasta, and Vale), and the Circulor platform. The implementation cost is approximately USD 1.5–3 million for a national deployment, with material benefits for ESG due diligence and for market access to the European Union.</w:t>
      </w:r>
    </w:p>
    <w:p>
      <w:pPr>
        <w:pStyle w:val="Heading2"/>
        <w:spacing w:after="160" w:before="320" w:line="312"/>
      </w:pPr>
      <w:bookmarkStart w:name="_Toc62" w:id="62"/>
      <w:r>
        <w:rPr>
          <w:rFonts w:ascii="Calibri"/>
          <w:b/>
          <w:bCs/>
          <w:color w:val="0B2545"/>
          <w:sz w:val="28"/>
          <w:szCs w:val="28"/>
        </w:rPr>
        <w:t xml:space="preserve">7.2 Satellite Remote Sensing and Earth Observation</w:t>
      </w:r>
      <w:bookmarkEnd w:id="62"/>
    </w:p>
    <w:p>
      <w:pPr>
        <w:spacing w:after="160" w:line="312"/>
        <w:ind w:firstLine="0"/>
        <w:jc w:val="both"/>
      </w:pPr>
      <w:r>
        <w:rPr>
          <w:rFonts w:ascii="Times New Roman"/>
          <w:color w:val="000000"/>
          <w:sz w:val="22"/>
          <w:szCs w:val="22"/>
        </w:rPr>
        <w:t xml:space="preserve">Satellite remote sensing, beyond the environmental monitoring application described in Chapter 6.4, supports exploration (through multispectral and hyperspectral imagery for alteration mapping), infrastructure planning (through high-resolution imagery for route selection and site selection), and regulatory monitoring (through change detection for permit compliance). The principal satellite imagery providers are Planet Labs (daily high-resolution), Maxar (sub-metre resolution), the European Space Agency's Copernicus programme (Sentinel-1, Sentinel-2, free of charge), and the U.S. Geological Survey's Landsat programme (free of charge). The integration of these data sources with the mining cadastre, environmental monitoring, and geodata management systems provides comprehensive situational awareness for the sector.</w:t>
      </w:r>
    </w:p>
    <w:p>
      <w:pPr>
        <w:pStyle w:val="Heading2"/>
        <w:spacing w:after="160" w:before="320" w:line="312"/>
      </w:pPr>
      <w:bookmarkStart w:name="_Toc63" w:id="63"/>
      <w:r>
        <w:rPr>
          <w:rFonts w:ascii="Calibri"/>
          <w:b/>
          <w:bCs/>
          <w:color w:val="0B2545"/>
          <w:sz w:val="28"/>
          <w:szCs w:val="28"/>
        </w:rPr>
        <w:t xml:space="preserve">7.3 IoT Sensor Networks in Mines</w:t>
      </w:r>
      <w:bookmarkEnd w:id="63"/>
    </w:p>
    <w:p>
      <w:pPr>
        <w:spacing w:after="160" w:line="312"/>
        <w:ind w:firstLine="0"/>
        <w:jc w:val="both"/>
      </w:pPr>
      <w:r>
        <w:rPr>
          <w:rFonts w:ascii="Times New Roman"/>
          <w:color w:val="000000"/>
          <w:sz w:val="22"/>
          <w:szCs w:val="22"/>
        </w:rPr>
        <w:t xml:space="preserve">IoT sensor networks within the mines, beyond the environmental monitoring application described in Chapter 6.4, support predictive maintenance of equipment, fleet management, worker safety, and operational efficiency. The principal applications are: vibration sensors on rotating equipment (crushers, mills, pumps) for predictive maintenance; GPS and telematics on mobile equipment for fleet management; gas sensors and personal locators for worker safety; and conveyor-belt scales and XRF analysers for production monitoring (Chapter 6.2). The principal IoT platforms for mining are GE Digital (Predix), Siemens (MindSphere), ABB (Ability), and Cisco (IoT Field Network Director). The implementation is typically driven by operators rather than by the government, but the government can encourage adoption through regulatory incentives and through the integration of operator IoT data with the regulatory monitoring systems.</w:t>
      </w:r>
    </w:p>
    <w:p>
      <w:pPr>
        <w:pStyle w:val="Heading2"/>
        <w:spacing w:after="160" w:before="320" w:line="312"/>
      </w:pPr>
      <w:bookmarkStart w:name="_Toc64" w:id="64"/>
      <w:r>
        <w:rPr>
          <w:rFonts w:ascii="Calibri"/>
          <w:b/>
          <w:bCs/>
          <w:color w:val="0B2545"/>
          <w:sz w:val="28"/>
          <w:szCs w:val="28"/>
        </w:rPr>
        <w:t xml:space="preserve">7.4 Drone Surveys and LiDAR</w:t>
      </w:r>
      <w:bookmarkEnd w:id="64"/>
    </w:p>
    <w:p>
      <w:pPr>
        <w:spacing w:after="160" w:line="312"/>
        <w:ind w:firstLine="0"/>
        <w:jc w:val="both"/>
      </w:pPr>
      <w:r>
        <w:rPr>
          <w:rFonts w:ascii="Times New Roman"/>
          <w:color w:val="000000"/>
          <w:sz w:val="22"/>
          <w:szCs w:val="22"/>
        </w:rPr>
        <w:t xml:space="preserve">Drone surveys and LiDAR, beyond the mine safety application described in Chapter 6.6, support exploration (through high-resolution topographic mapping and structural geology), topographic monitoring (through regular surveys of mine development), volumetric stockpile measurement (for production reconciliation), and infrastructure planning. The principal drone platforms for mining are senseFly (a Parrot company), DJI, and Trimble (for survey-grade drones). LiDAR sensors include Riegl, Velodyne, and Leica Geosystems. The implementation cost is approximately USD 0.5–1.0 million for a national regulatory inspection capability, with material benefits for regulatory oversight and for the credibility of the inspection regime.</w:t>
      </w:r>
    </w:p>
    <w:p>
      <w:pPr>
        <w:pStyle w:val="Heading2"/>
        <w:spacing w:after="160" w:before="320" w:line="312"/>
      </w:pPr>
      <w:bookmarkStart w:name="_Toc65" w:id="65"/>
      <w:r>
        <w:rPr>
          <w:rFonts w:ascii="Calibri"/>
          <w:b/>
          <w:bCs/>
          <w:color w:val="0B2545"/>
          <w:sz w:val="28"/>
          <w:szCs w:val="28"/>
        </w:rPr>
        <w:t xml:space="preserve">7.5 Digital Twin Technology</w:t>
      </w:r>
      <w:bookmarkEnd w:id="65"/>
    </w:p>
    <w:p>
      <w:pPr>
        <w:spacing w:after="160" w:line="312"/>
        <w:ind w:firstLine="0"/>
        <w:jc w:val="both"/>
      </w:pPr>
      <w:r>
        <w:rPr>
          <w:rFonts w:ascii="Times New Roman"/>
          <w:color w:val="000000"/>
          <w:sz w:val="22"/>
          <w:szCs w:val="22"/>
        </w:rPr>
        <w:t xml:space="preserve">Digital twin technology, beyond the mine closure application described in Chapter 6.6, supports mine planning (through simulation of mining scenarios), infrastructure planning (through 3D modelling of mine infrastructure), and operational optimisation (through real-time integration with operational data). The principal digital twin platforms are Bentley Systems' iTwin, Siemens' Plant Simulation, Dassault Systèmes' 3DEXPERIENCE, and ABB's Ability. The implementation is typically driven by operators, but the government can use digital twin data for regulatory oversight (with appropriate data-sharing agreements). The technology is particularly relevant for the development of new mines (Koné, Lafigué, Abujar) where digital twin modelling can support efficient mine planning and reduce capital cost overruns.</w:t>
      </w:r>
    </w:p>
    <w:p>
      <w:pPr>
        <w:pStyle w:val="Heading2"/>
        <w:spacing w:after="160" w:before="320" w:line="312"/>
      </w:pPr>
      <w:bookmarkStart w:name="_Toc66" w:id="66"/>
      <w:r>
        <w:rPr>
          <w:rFonts w:ascii="Calibri"/>
          <w:b/>
          <w:bCs/>
          <w:color w:val="0B2545"/>
          <w:sz w:val="28"/>
          <w:szCs w:val="28"/>
        </w:rPr>
        <w:t xml:space="preserve">7.6 Predictive Analytics and Machine Learning</w:t>
      </w:r>
      <w:bookmarkEnd w:id="66"/>
    </w:p>
    <w:p>
      <w:pPr>
        <w:spacing w:after="160" w:line="312"/>
        <w:ind w:firstLine="0"/>
        <w:jc w:val="both"/>
      </w:pPr>
      <w:r>
        <w:rPr>
          <w:rFonts w:ascii="Times New Roman"/>
          <w:color w:val="000000"/>
          <w:sz w:val="22"/>
          <w:szCs w:val="22"/>
        </w:rPr>
        <w:t xml:space="preserve">Predictive analytics and machine learning, beyond the geological application described in Chapter 6.7, support ore-grade prediction (through integration of drill-hole data with processing plant data), equipment failure prediction (through IoT sensor data analysis), and market forecasting (through integration of commodity price data with macroeconomic indicators). The principal ML platforms are Google Cloud AI Platform, Amazon SageMaker, Microsoft Azure ML, and open-source frameworks (TensorFlow, PyTorch, scikit-learn). The implementation is typically driven by operators, but the government can use predictive analytics for fiscal planning (through forecasting of commodity prices and production volumes) and for regulatory oversight (through anomaly detection in operator-reported data).</w:t>
      </w:r>
    </w:p>
    <w:p>
      <w:pPr>
        <w:pStyle w:val="Heading2"/>
        <w:spacing w:after="160" w:before="320" w:line="312"/>
      </w:pPr>
      <w:bookmarkStart w:name="_Toc67" w:id="67"/>
      <w:r>
        <w:rPr>
          <w:rFonts w:ascii="Calibri"/>
          <w:b/>
          <w:bCs/>
          <w:color w:val="0B2545"/>
          <w:sz w:val="28"/>
          <w:szCs w:val="28"/>
        </w:rPr>
        <w:t xml:space="preserve">7.7 Mobile Money and Digital Payment</w:t>
      </w:r>
      <w:bookmarkEnd w:id="67"/>
    </w:p>
    <w:p>
      <w:pPr>
        <w:spacing w:after="160" w:line="312"/>
        <w:ind w:firstLine="0"/>
        <w:jc w:val="both"/>
      </w:pPr>
      <w:r>
        <w:rPr>
          <w:rFonts w:ascii="Times New Roman"/>
          <w:color w:val="000000"/>
          <w:sz w:val="22"/>
          <w:szCs w:val="22"/>
        </w:rPr>
        <w:t xml:space="preserve">Mobile money and digital payment platforms, beyond the ASM formalisation application described in Chapter 6.3, support the digital collection of mining-sector revenues (royalties, surface fees, taxes), the digital payment of community development funds, and the digital disbursement of mining-sector social programmes. The principal mobile money platforms in Côte d'Ivoire are Orange Money, MTN Mobile Money, and Moov Money (Wave), with high penetration in urban areas and growing penetration in rural areas. The integration of mobile money with the government's revenue collection systems (through the Direction Générale des Impôts and the Direction Générale du Trésor) supports the digitisation of mining-sector revenue collection, with estimated 30–50% reduction in collection costs and material benefits for transparency.</w:t>
      </w:r>
    </w:p>
    <w:p>
      <w:pPr>
        <w:pStyle w:val="Heading2"/>
        <w:spacing w:after="160" w:before="320" w:line="312"/>
      </w:pPr>
      <w:bookmarkStart w:name="_Toc68" w:id="68"/>
      <w:r>
        <w:rPr>
          <w:rFonts w:ascii="Calibri"/>
          <w:b/>
          <w:bCs/>
          <w:color w:val="0B2545"/>
          <w:sz w:val="28"/>
          <w:szCs w:val="28"/>
        </w:rPr>
        <w:t xml:space="preserve">7.8 Cloud Computing and Data Lakes</w:t>
      </w:r>
      <w:bookmarkEnd w:id="68"/>
    </w:p>
    <w:p>
      <w:pPr>
        <w:spacing w:after="160" w:line="312"/>
        <w:ind w:firstLine="0"/>
        <w:jc w:val="both"/>
      </w:pPr>
      <w:r>
        <w:rPr>
          <w:rFonts w:ascii="Times New Roman"/>
          <w:color w:val="000000"/>
          <w:sz w:val="22"/>
          <w:szCs w:val="22"/>
        </w:rPr>
        <w:t xml:space="preserve">Cloud computing and data lakes provide the underlying infrastructure for the digital solutions described in Chapter 6. The principal cloud providers are AWS, Microsoft Azure, and Google Cloud, with regional presence in South Africa (AWS Cape Town, Microsoft Azure South Africa, Google Cloud Johannesburg). National cloud infrastructure is being developed through the Abidjan Data Center project (expected completion 2027) and the ANTIC's National Cloud initiative. A mining-sector data lake, integrating data from the cadastre, geodata, environmental monitoring, production monitoring, and community engagement systems, would provide a single source of truth for the sector and would support advanced analytics and AI applications. The estimated cost is USD 2–3 million for the data lake implementation, with annual operating costs of USD 0.5–0.8 million.</w:t>
      </w:r>
    </w:p>
    <w:p>
      <w:pPr>
        <w:pStyle w:val="Heading1"/>
        <w:spacing w:after="240" w:before="480" w:line="360"/>
      </w:pPr>
      <w:bookmarkStart w:name="_Toc69" w:id="69"/>
      <w:r>
        <w:rPr>
          <w:rFonts w:ascii="Calibri"/>
          <w:b/>
          <w:bCs/>
          <w:color w:val="0B2545"/>
          <w:sz w:val="32"/>
          <w:szCs w:val="32"/>
        </w:rPr>
        <w:t xml:space="preserve">8. Implementation Roadmap and Benefits</w:t>
      </w:r>
      <w:bookmarkEnd w:id="69"/>
    </w:p>
    <w:p>
      <w:pPr>
        <w:pStyle w:val="Heading2"/>
        <w:spacing w:after="160" w:before="320" w:line="312"/>
      </w:pPr>
      <w:bookmarkStart w:name="_Toc70" w:id="70"/>
      <w:r>
        <w:rPr>
          <w:rFonts w:ascii="Calibri"/>
          <w:b/>
          <w:bCs/>
          <w:color w:val="0B2545"/>
          <w:sz w:val="28"/>
          <w:szCs w:val="28"/>
        </w:rPr>
        <w:t xml:space="preserve">8.1 Phased Implementation Roadmap</w:t>
      </w:r>
      <w:bookmarkEnd w:id="70"/>
    </w:p>
    <w:p>
      <w:pPr>
        <w:spacing w:after="160" w:line="312"/>
        <w:ind w:firstLine="0"/>
        <w:jc w:val="both"/>
      </w:pPr>
      <w:r>
        <w:rPr>
          <w:rFonts w:ascii="Times New Roman"/>
          <w:color w:val="000000"/>
          <w:sz w:val="22"/>
          <w:szCs w:val="22"/>
        </w:rPr>
        <w:t xml:space="preserve">The recommended implementation roadmap for the digital solutions and process-improving technologies presented in Chapters 6 and 7 is a phased five-year programme, structured around three implementation waves. The phasing reflects the sequencing of dependencies (e.g., the geodata system depends on the cadastre system; the AI-driven predictive exploration depends on the geodata system) and the relative urgency of the gaps addressed by each solution.</w:t>
      </w:r>
    </w:p>
    <w:p>
      <w:pPr>
        <w:spacing w:after="160" w:line="312"/>
        <w:ind w:firstLine="0"/>
        <w:jc w:val="both"/>
      </w:pPr>
      <w:r>
        <w:rPr>
          <w:rFonts w:ascii="Times New Roman"/>
          <w:color w:val="000000"/>
          <w:sz w:val="22"/>
          <w:szCs w:val="22"/>
        </w:rPr>
        <w:t xml:space="preserve">Year 1 (Foundation Phase, 2026): Priority deployments are the Mining Cadastre System (Chapter 6.1, Option A or B), the National Digital Geological Database (Chapter 6.7.1), and the foundational cloud and data lake infrastructure. The cumulative cost of Year 1 deployments is approximately USD 12–18 million. The expected outcomes by end-Year 1 are: a functional cadastre system in pilot deployment; a populated geological database covering the principal mining regions; and a cloud infrastructure ready to host subsequent deployments.</w:t>
      </w:r>
    </w:p>
    <w:p>
      <w:pPr>
        <w:spacing w:after="160" w:line="312"/>
        <w:ind w:firstLine="0"/>
        <w:jc w:val="both"/>
      </w:pPr>
      <w:r>
        <w:rPr>
          <w:rFonts w:ascii="Times New Roman"/>
          <w:color w:val="000000"/>
          <w:sz w:val="22"/>
          <w:szCs w:val="22"/>
        </w:rPr>
        <w:t xml:space="preserve">Years 2–3 (Operational Monitoring Phase, 2027–2028): Priority deployments are the Production and Royalty Monitoring system (Chapter 6.2), the Environmental Monitoring system (Chapter 6.4), the ASM Formalisation programme (Chapter 6.3), and the Community Engagement platform (Chapter 6.5). The cumulative cost of Years 2–3 deployments is approximately USD 30–50 million. The expected outcomes by end-Year 3 are: production monitoring covering all operating gold mines; environmental monitoring covering the principal mining regions; ASM formalisation pilots operational in the Tortiya and Séguéla regions; and the community engagement platform deployed at all operating mines.</w:t>
      </w:r>
    </w:p>
    <w:p>
      <w:pPr>
        <w:spacing w:after="160" w:line="312"/>
        <w:ind w:firstLine="0"/>
        <w:jc w:val="both"/>
      </w:pPr>
      <w:r>
        <w:rPr>
          <w:rFonts w:ascii="Times New Roman"/>
          <w:color w:val="000000"/>
          <w:sz w:val="22"/>
          <w:szCs w:val="22"/>
        </w:rPr>
        <w:t xml:space="preserve">Years 4–5 (Advanced Analytics Phase, 2029–2030): Priority deployments are the Mine Safety and Closure Oversight systems (Chapter 6.6), the AI-driven predictive exploration platform (Chapter 6.7.2), the AI NLP community analysis (Chapter 6.5.2), and the integration of all systems through the data lake. The cumulative cost of Years 4–5 deployments is approximately USD 30–55 million. The expected outcomes by end-Year 5 are: digital twins of all operating mines; AI-assisted closure planning and bond audit; AI-driven predictive exploration; and a fully integrated mining-sector data lake supporting advanced analytics and policy decision-making.</w:t>
      </w:r>
    </w:p>
    <w:p>
      <w:pPr>
        <w:pStyle w:val="Heading2"/>
        <w:spacing w:after="160" w:before="320" w:line="312"/>
      </w:pPr>
      <w:bookmarkStart w:name="_Toc71" w:id="71"/>
      <w:r>
        <w:rPr>
          <w:rFonts w:ascii="Calibri"/>
          <w:b/>
          <w:bCs/>
          <w:color w:val="0B2545"/>
          <w:sz w:val="28"/>
          <w:szCs w:val="28"/>
        </w:rPr>
        <w:t xml:space="preserve">8.2 Indicative Budget Envelope</w:t>
      </w:r>
      <w:bookmarkEnd w:id="71"/>
    </w:p>
    <w:p>
      <w:pPr>
        <w:spacing w:after="160" w:line="312"/>
        <w:ind w:firstLine="0"/>
        <w:jc w:val="both"/>
      </w:pPr>
      <w:r>
        <w:rPr>
          <w:rFonts w:ascii="Times New Roman"/>
          <w:color w:val="000000"/>
          <w:sz w:val="22"/>
          <w:szCs w:val="22"/>
        </w:rPr>
        <w:t xml:space="preserve">The total indicative budget for the five-year digital transformation programme is approximately USD 80–120 million, with the range reflecting choices between Options A and B in each domain and the pace of national rollout. The budget envelope can be financed through a combination of: (i) the Mining Capacity Building Fund (Fonds de Renforcement des Capacités du Secteur Minier), which collects 0.5% of mining-sector revenue and is currently underutilised; (ii) World Bank International Development Association (IDA) financing, with the World Bank's West Africa Mining and Digital Transformation Programme providing a potential funding window; (iii) African Development Bank financing, with the AfDB's Africa Digital Transformation Fund providing a potential funding window; (iv) the Minerals Security Partnership, with the partnership's financing arm (the U.S. International Development Finance Corporation, Export Development Canada, and equivalent agencies in partner countries) providing potential financing for critical-minerals-specific deployments; and (v) bilateral development partner financing, including the French Agence Française de Développement (AFD), the German KfW, and the European Union.</w:t>
      </w:r>
    </w:p>
    <w:p>
      <w:pPr>
        <w:spacing w:after="160" w:line="312"/>
        <w:ind w:firstLine="0"/>
        <w:jc w:val="both"/>
      </w:pPr>
      <w:r>
        <w:rPr>
          <w:rFonts w:ascii="Times New Roman"/>
          <w:color w:val="000000"/>
          <w:sz w:val="22"/>
          <w:szCs w:val="22"/>
        </w:rPr>
        <w:t xml:space="preserve">The annual operating costs, estimated at USD 10–15 million per annum at steady state, can be financed through the Mining Capacity Building Fund (with annual revenue of approximately USD 8–12 million) and through user fees on the operators (e.g., permit application fees, royalty audit fees). The financial sustainability of the programme requires a clear governance arrangement, with a dedicated Digital Mining Transformation Office (proposed to be established under SODEMI) responsible for the operation and maintenance of the systems and for the ongoing engagement with development partners and operators.</w:t>
      </w:r>
    </w:p>
    <w:p>
      <w:pPr>
        <w:pStyle w:val="Heading2"/>
        <w:spacing w:after="160" w:before="320" w:line="312"/>
      </w:pPr>
      <w:bookmarkStart w:name="_Toc72" w:id="72"/>
      <w:r>
        <w:rPr>
          <w:rFonts w:ascii="Calibri"/>
          <w:b/>
          <w:bCs/>
          <w:color w:val="0B2545"/>
          <w:sz w:val="28"/>
          <w:szCs w:val="28"/>
        </w:rPr>
        <w:t xml:space="preserve">8.3 Government Benefits</w:t>
      </w:r>
      <w:bookmarkEnd w:id="72"/>
    </w:p>
    <w:p>
      <w:pPr>
        <w:spacing w:after="160" w:line="312"/>
        <w:ind w:firstLine="0"/>
        <w:jc w:val="both"/>
      </w:pPr>
      <w:r>
        <w:rPr>
          <w:rFonts w:ascii="Times New Roman"/>
          <w:color w:val="000000"/>
          <w:sz w:val="22"/>
          <w:szCs w:val="22"/>
        </w:rPr>
        <w:t xml:space="preserve">The cumulative government benefits of the digital transformation programme over the 2026–2032 horizon are estimated at USD 350–550 million, comprising: (i) USD 100–150 million in additional royalty and tax revenue through improved production monitoring and ASM formalisation; (ii) USD 50–80 million in reduced permitting processing costs and improved fiscal planning; (iii) USD 150–250 million in avoided environmental remediation costs through improved environmental monitoring and mine closure oversight; (iv) USD 50–80 million in avoided operational disruption costs through improved community engagement and safety monitoring. These estimates are conservative and assume only partial implementation of the recommended solutions; full implementation would yield higher benefits.</w:t>
      </w:r>
    </w:p>
    <w:p>
      <w:pPr>
        <w:spacing w:after="160" w:line="312"/>
        <w:ind w:firstLine="0"/>
        <w:jc w:val="both"/>
      </w:pPr>
      <w:r>
        <w:rPr>
          <w:rFonts w:ascii="Times New Roman"/>
          <w:color w:val="000000"/>
          <w:sz w:val="22"/>
          <w:szCs w:val="22"/>
        </w:rPr>
        <w:t xml:space="preserve">Beyond the quantified financial benefits, the programme delivers material qualitative benefits for the government: improved regulatory credibility through transparency and accountability; improved investment climate through predictable and efficient regulatory processes; improved environmental protection through independent monitoring; improved community trust through transparent grievance handling; and progress toward the country's international commitments (EITI, Minamata Convention, Paris Agreement, Minerals Security Partnership). These qualitative benefits are difficult to quantify but are material for the long-term sustainability of the sector.</w:t>
      </w:r>
    </w:p>
    <w:p>
      <w:pPr>
        <w:pStyle w:val="Heading2"/>
        <w:spacing w:after="160" w:before="320" w:line="312"/>
      </w:pPr>
      <w:bookmarkStart w:name="_Toc73" w:id="73"/>
      <w:r>
        <w:rPr>
          <w:rFonts w:ascii="Calibri"/>
          <w:b/>
          <w:bCs/>
          <w:color w:val="0B2545"/>
          <w:sz w:val="28"/>
          <w:szCs w:val="28"/>
        </w:rPr>
        <w:t xml:space="preserve">8.4 Economic Benefits</w:t>
      </w:r>
      <w:bookmarkEnd w:id="73"/>
    </w:p>
    <w:p>
      <w:pPr>
        <w:spacing w:after="160" w:line="312"/>
        <w:ind w:firstLine="0"/>
        <w:jc w:val="both"/>
      </w:pPr>
      <w:r>
        <w:rPr>
          <w:rFonts w:ascii="Times New Roman"/>
          <w:color w:val="000000"/>
          <w:sz w:val="22"/>
          <w:szCs w:val="22"/>
        </w:rPr>
        <w:t xml:space="preserve">The economic benefits of the digital transformation programme, beyond the direct government revenue benefits, include: (i) USD 1.5–2.0 billion in additional foreign direct investment attracted through improved permit predictability, geological data accessibility, and regulatory efficiency; (ii) USD 200–300 million in additional exploration expenditure over 5 years, supporting the development of the next generation of mines; (iii) creation of approximately 2,000–3,000 direct jobs in the digital technology sector (data engineering, software development, AI/ML, IoT), with a similar number of indirect jobs in supporting services; (iv) development of a domestic mining-technology services industry, with potential for export to other African jurisdictions; (v) improved integration of the mining sector with the broader economy through digital supply-chain integration.</w:t>
      </w:r>
    </w:p>
    <w:p>
      <w:pPr>
        <w:spacing w:after="160" w:line="312"/>
        <w:ind w:firstLine="0"/>
        <w:jc w:val="both"/>
      </w:pPr>
      <w:r>
        <w:rPr>
          <w:rFonts w:ascii="Times New Roman"/>
          <w:color w:val="000000"/>
          <w:sz w:val="22"/>
          <w:szCs w:val="22"/>
        </w:rPr>
        <w:t xml:space="preserve">The cumulative effect of these economic benefits is a material uplift in the mining sector's contribution to GDP, from approximately 1.5–2.0% (direct) currently to approximately 3.0–4.0% (direct) by 2030, and from approximately 4–5% (direct plus indirect) currently to approximately 6–8% (direct plus indirect) by 2030. This trajectory is consistent with the government's National Development Plan 2021–2025 targets and with the strategic objectives articulated in the 2024 National Mining Policy Document.</w:t>
      </w:r>
    </w:p>
    <w:p>
      <w:pPr>
        <w:pStyle w:val="Heading2"/>
        <w:spacing w:after="160" w:before="320" w:line="312"/>
      </w:pPr>
      <w:bookmarkStart w:name="_Toc74" w:id="74"/>
      <w:r>
        <w:rPr>
          <w:rFonts w:ascii="Calibri"/>
          <w:b/>
          <w:bCs/>
          <w:color w:val="0B2545"/>
          <w:sz w:val="28"/>
          <w:szCs w:val="28"/>
        </w:rPr>
        <w:t xml:space="preserve">8.5 ESG Benefits</w:t>
      </w:r>
      <w:bookmarkEnd w:id="74"/>
    </w:p>
    <w:p>
      <w:pPr>
        <w:spacing w:after="160" w:line="312"/>
        <w:ind w:firstLine="0"/>
        <w:jc w:val="both"/>
      </w:pPr>
      <w:r>
        <w:rPr>
          <w:rFonts w:ascii="Times New Roman"/>
          <w:color w:val="000000"/>
          <w:sz w:val="22"/>
          <w:szCs w:val="22"/>
        </w:rPr>
        <w:t xml:space="preserve">The ESG benefits of the digital transformation programme are material and align with the country's international commitments. Environmental benefits include: a 70–90% reduction in undetected environmental incidents (through satellite and IoT monitoring); a 70–90% reduction in mercury use in ASM (through the mercury-free processing hub network); improved water resource management through real-time monitoring; improved protection of protected areas through satellite-based deforestation monitoring; and improved mine closure outcomes through digital twin and closure planning. Social benefits include: improved community trust through transparent grievance handling; reduced ASM-related social conflict through formalisation; improved working conditions in ASM through mercury-free processing; and improved gender inclusion through targeted programmes.</w:t>
      </w:r>
    </w:p>
    <w:p>
      <w:pPr>
        <w:spacing w:after="160" w:line="312"/>
        <w:ind w:firstLine="0"/>
        <w:jc w:val="both"/>
      </w:pPr>
      <w:r>
        <w:rPr>
          <w:rFonts w:ascii="Times New Roman"/>
          <w:color w:val="000000"/>
          <w:sz w:val="22"/>
          <w:szCs w:val="22"/>
        </w:rPr>
        <w:t xml:space="preserve">Governance benefits include: improved transparency through the EITI-aligned cadastre and beneficial ownership registry; improved accountability through the blockchain audit trail; improved regulatory efficiency through digital workflows; and improved anti-corruption credibility through independent monitoring and verification. The cumulative effect is a material uplift in the country's position in international ESG benchmarks, including the Resource Governance Index (where Côte d'Ivoire currently scores 56/100, "good"), the EITI Validation framework (where the country is currently "compliant"), and the country's overall investment ESG profile.</w:t>
      </w:r>
    </w:p>
    <w:p>
      <w:pPr>
        <w:pStyle w:val="Heading2"/>
        <w:spacing w:after="160" w:before="320" w:line="312"/>
      </w:pPr>
      <w:bookmarkStart w:name="_Toc75" w:id="75"/>
      <w:r>
        <w:rPr>
          <w:rFonts w:ascii="Calibri"/>
          <w:b/>
          <w:bCs/>
          <w:color w:val="0B2545"/>
          <w:sz w:val="28"/>
          <w:szCs w:val="28"/>
        </w:rPr>
        <w:t xml:space="preserve">8.6 Implementation Governance</w:t>
      </w:r>
      <w:bookmarkEnd w:id="75"/>
    </w:p>
    <w:p>
      <w:pPr>
        <w:spacing w:after="160" w:line="312"/>
        <w:ind w:firstLine="0"/>
        <w:jc w:val="both"/>
      </w:pPr>
      <w:r>
        <w:rPr>
          <w:rFonts w:ascii="Times New Roman"/>
          <w:color w:val="000000"/>
          <w:sz w:val="22"/>
          <w:szCs w:val="22"/>
        </w:rPr>
        <w:t xml:space="preserve">Effective implementation of the digital transformation programme requires clear governance arrangements. The recommended governance structure is: (i) a Digital Mining Transformation Steering Committee, chaired by the Minister of Mines and including the Director General of SODEMI, the Director General of DGMG, the Director General of CIAPOL, and representatives of the Ministry of Finance, the Ministry of Environment, and the Ministry of Digital Economy; (ii) a Digital Mining Transformation Office, established under SODEMI, with a dedicated team of approximately 30–50 staff covering programme management, technical implementation, vendor management, and stakeholder engagement; (iii) a multi-stakeholder advisory council, including representatives of operators (the FP-SMCI), civil society organisations, and development partners; and (iv) annual reporting to the National Assembly and to the EITI multi-stakeholder group.</w:t>
      </w:r>
    </w:p>
    <w:p>
      <w:pPr>
        <w:spacing w:after="160" w:line="312"/>
        <w:ind w:firstLine="0"/>
        <w:jc w:val="both"/>
      </w:pPr>
      <w:r>
        <w:rPr>
          <w:rFonts w:ascii="Times New Roman"/>
          <w:color w:val="000000"/>
          <w:sz w:val="22"/>
          <w:szCs w:val="22"/>
        </w:rPr>
        <w:t xml:space="preserve">The Digital Mining Transformation Office should be established by presidential decree in early 2026, with the appointment of a senior director (with experience in both mining and digital transformation) and the recruitment of the core team within the first 6 months. The Office should report quarterly to the Steering Committee and annually to the National Assembly, with public disclosure of progress against the programme milestones. The governance structure should be designed for sustainability beyond the initial 5-year programme, with the Office becoming a permanent function of SODEMI responsible for the ongoing operation, maintenance and development of the mining-sector digital infrastructure.</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r>
    <w:r>
      <w:rPr>
        <w:rFonts w:ascii="Calibri"/>
        <w:color w:val="808080"/>
        <w:sz w:val="18"/>
        <w:szCs w:val="18"/>
      </w:rPr>
      <w:instrText xml:space="preserve">PAGE \* ROMAN \* MERGEFORMAT</w:instrText>
    </w:r>
    <w:r>
      <w:rPr>
        <w:rFonts w:ascii="Calibri"/>
        <w:color w:val="808080"/>
        <w:sz w:val="18"/>
        <w:szCs w:val="18"/>
      </w:rPr>
      <w:fldChar w:fldCharType="separate"/>
    </w:r>
    <w:r>
      <w:rPr>
        <w:rFonts w:ascii="Calibri"/>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r>
    <w:r>
      <w:rPr>
        <w:rFonts w:ascii="Calibri"/>
        <w:color w:val="808080"/>
        <w:sz w:val="18"/>
        <w:szCs w:val="18"/>
      </w:rPr>
      <w:instrText xml:space="preserve">PAGE \* arabic \* MERGEFORMAT</w:instrText>
    </w:r>
    <w:r>
      <w:rPr>
        <w:rFonts w:ascii="Calibri"/>
        <w:color w:val="808080"/>
        <w:sz w:val="18"/>
        <w:szCs w:val="18"/>
      </w:rPr>
      <w:fldChar w:fldCharType="separate"/>
    </w:r>
    <w:r>
      <w:rPr>
        <w:rFonts w:ascii="Calibri"/>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i/>
        <w:iCs/>
        <w:color w:val="808080"/>
        <w:sz w:val="18"/>
        <w:szCs w:val="18"/>
      </w:rPr>
      <w:t xml:space="preserve">Mining &amp; Minerals of Côte d'Ivoire — Detailed Note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i/>
        <w:iCs/>
        <w:color w:val="808080"/>
        <w:sz w:val="18"/>
        <w:szCs w:val="18"/>
      </w:rPr>
      <w:t xml:space="preserve">Mining &amp; Minerals of Côte d'Ivoire — Detailed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b/>
      <w:bCs/>
      <w:color w:val="0B2545"/>
      <w:sz w:val="32"/>
      <w:szCs w:val="32"/>
    </w:rPr>
  </w:style>
  <w:style w:type="paragraph" w:styleId="Heading2">
    <w:name w:val="Heading 2"/>
    <w:basedOn w:val="Normal"/>
    <w:next w:val="Normal"/>
    <w:qFormat/>
    <w:pPr>
      <w:spacing w:after="160" w:before="320" w:line="312"/>
      <w:outlineLvl w:val="1"/>
    </w:pPr>
    <w:rPr>
      <w:rFonts w:ascii="Calibri"/>
      <w:b/>
      <w:bCs/>
      <w:color w:val="0B2545"/>
      <w:sz w:val="28"/>
      <w:szCs w:val="28"/>
    </w:rPr>
  </w:style>
  <w:style w:type="paragraph" w:styleId="Heading3">
    <w:name w:val="Heading 3"/>
    <w:basedOn w:val="Normal"/>
    <w:next w:val="Normal"/>
    <w:qFormat/>
    <w:pPr>
      <w:spacing w:after="120" w:before="240" w:line="312"/>
      <w:outlineLvl w:val="2"/>
    </w:pPr>
    <w:rPr>
      <w:rFonts w:ascii="Calibri"/>
      <w:b/>
      <w:bCs/>
      <w:color w:val="1A2C45"/>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Côte d'Ivoire Mining — Volume II: Strategic Gaps, Risks &amp; Digital Solutions</dc:title>
  <dc:creator>Côte d'Ivoire Mining Sector Advisory</dc:creator>
  <dc:description>Companion advisory document to Volume I reference note</dc:description>
  <cp:lastModifiedBy>Un-named</cp:lastModifiedBy>
  <cp:revision>1</cp:revision>
  <dcterms:created xsi:type="dcterms:W3CDTF">2026-10-21T17:28:24.822Z</dcterms:created>
  <dcterms:modified xsi:type="dcterms:W3CDTF">2026-10-21T17:28:24.822Z</dcterms:modified>
</cp:coreProperties>
</file>

<file path=docProps/custom.xml><?xml version="1.0" encoding="utf-8"?>
<Properties xmlns="http://schemas.openxmlformats.org/officeDocument/2006/custom-properties" xmlns:vt="http://schemas.openxmlformats.org/officeDocument/2006/docPropsVTypes"/>
</file>