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IFX Authorization Architecture</w:t>
      </w:r>
    </w:p>
    <w:p>
      <w:pPr>
        <w:jc w:val="center"/>
      </w:pPr>
      <w:r>
        <w:rPr>
          <w:i/>
          <w:sz w:val="26"/>
        </w:rPr>
        <w:t>Technical Design Document — RBAC + ABAC + OPA</w:t>
      </w:r>
    </w:p>
    <w:p/>
    <w:p>
      <w:pPr>
        <w:jc w:val="center"/>
      </w:pPr>
      <w:r>
        <w:rPr>
          <w:sz w:val="20"/>
        </w:rPr>
        <w:t>Version 1.0   |   March 2026   |   IFX Platform Team</w:t>
      </w:r>
    </w:p>
    <w:p>
      <w:r>
        <w:br w:type="page"/>
      </w:r>
    </w:p>
    <w:p>
      <w:pPr>
        <w:pStyle w:val="Heading1"/>
      </w:pPr>
      <w:r>
        <w:t>1. Overview</w:t>
      </w:r>
    </w:p>
    <w:p>
      <w:r>
        <w:rPr>
          <w:b w:val="0"/>
          <w:i w:val="0"/>
          <w:sz w:val="22"/>
        </w:rPr>
        <w:t>The IFX platform uses a two-layered authorization model that combines Role-Based Access Control (RBAC) with Attribute-Based Access Control (ABAC). RBAC provides a fast, coarse-grained permission gate; ABAC — enforced by Open Policy Agent (OPA) — provides fine-grained, resource-level policy decisions. The two layers work together: RBAC decides whether the caller holds the right kind of permission at all; OPA decides whether the specific operation on the specific resource is allowed given the full context of the request.</w:t>
      </w:r>
    </w:p>
    <w:p/>
    <w:p>
      <w:r>
        <w:rPr>
          <w:b/>
          <w:i w:val="0"/>
          <w:sz w:val="22"/>
        </w:rPr>
        <w:t>Key design principles:</w:t>
      </w:r>
    </w:p>
    <w:p>
      <w:pPr>
        <w:pStyle w:val="ListBullet"/>
        <w:ind w:left="360"/>
      </w:pPr>
      <w:r>
        <w:t>Fail-closed by default — OPA unavailability is treated as deny, never allow.</w:t>
      </w:r>
    </w:p>
    <w:p>
      <w:pPr>
        <w:pStyle w:val="ListBullet"/>
        <w:ind w:left="360"/>
      </w:pPr>
      <w:r>
        <w:t>Post-load authorization — resources are loaded first, then authorized (prevents phantom auth on non-existent resources).</w:t>
      </w:r>
    </w:p>
    <w:p>
      <w:pPr>
        <w:pStyle w:val="ListBullet"/>
        <w:ind w:left="360"/>
      </w:pPr>
      <w:r>
        <w:t>Policies evaluate permissions, never raw role names — decoupled from role taxonomy.</w:t>
      </w:r>
    </w:p>
    <w:p>
      <w:pPr>
        <w:pStyle w:val="ListBullet"/>
        <w:ind w:left="360"/>
      </w:pPr>
      <w:r>
        <w:t>Application layer is policy-agnostic — it calls IResourceAuthorizationService; OPA is an infrastructure detail.</w:t>
      </w:r>
    </w:p>
    <w:p>
      <w:pPr>
        <w:pStyle w:val="ListBullet"/>
        <w:ind w:left="360"/>
      </w:pPr>
      <w:r>
        <w:t>Defense-in-depth — OPA tenant check is independent of the database tenant filter.</w:t>
      </w:r>
    </w:p>
    <w:p>
      <w:pPr>
        <w:pStyle w:val="Heading1"/>
      </w:pPr>
      <w:r>
        <w:t>2. Architecture Components</w:t>
      </w:r>
    </w:p>
    <w:p>
      <w:pPr>
        <w:pStyle w:val="Heading2"/>
      </w:pPr>
      <w:r>
        <w:t>2.1  RBAC — Role-Based Access Control</w:t>
      </w:r>
    </w:p>
    <w:p>
      <w:r>
        <w:rPr>
          <w:b w:val="0"/>
          <w:i w:val="0"/>
          <w:sz w:val="22"/>
        </w:rPr>
        <w:t>RBAC is the first gate in the authorization pipeline. It answers: does this user hold a permission that could allow this operation? The RBAC model in IFX is hierarchical:</w:t>
      </w:r>
    </w:p>
    <w:p>
      <w:pPr>
        <w:pStyle w:val="ListBullet"/>
        <w:ind w:left="360"/>
      </w:pPr>
      <w:r>
        <w:t>User  -&gt;  Roles  -&gt;  Permissions</w:t>
      </w:r>
    </w:p>
    <w:p>
      <w:pPr>
        <w:pStyle w:val="ListBullet"/>
        <w:ind w:left="360"/>
      </w:pPr>
      <w:r>
        <w:t>User  -&gt;  RoleGroups  -&gt;  Roles  -&gt;  Permissions</w:t>
      </w:r>
    </w:p>
    <w:p/>
    <w:p>
      <w:r>
        <w:rPr>
          <w:b w:val="0"/>
          <w:i w:val="0"/>
          <w:sz w:val="22"/>
        </w:rPr>
        <w:t>All Roles, RoleGroups, and Permissions are scoped to a Tenant. The flat, deduplicated list of permission names for the current request context is loaded at login and emitted as JWT claims, then made available through ICurrentUser.Permissions.</w:t>
      </w:r>
    </w:p>
    <w:p/>
    <w:p>
      <w:r>
        <w:rPr>
          <w:b/>
          <w:i w:val="0"/>
          <w:sz w:val="22"/>
        </w:rPr>
        <w:t>What RBAC does NOT do:</w:t>
      </w:r>
    </w:p>
    <w:p>
      <w:pPr>
        <w:pStyle w:val="ListBullet"/>
        <w:ind w:left="360"/>
      </w:pPr>
      <w:r>
        <w:t>Check whether the resource belongs to the caller's tenant.</w:t>
      </w:r>
    </w:p>
    <w:p>
      <w:pPr>
        <w:pStyle w:val="ListBullet"/>
        <w:ind w:left="360"/>
      </w:pPr>
      <w:r>
        <w:t>Check ownership, sensitivity, or MFA state.</w:t>
      </w:r>
    </w:p>
    <w:p>
      <w:pPr>
        <w:pStyle w:val="ListBullet"/>
        <w:ind w:left="360"/>
      </w:pPr>
      <w:r>
        <w:t>These are OPA's responsibilities.</w:t>
      </w:r>
    </w:p>
    <w:p>
      <w:pPr>
        <w:pStyle w:val="Heading2"/>
      </w:pPr>
      <w:r>
        <w:t>2.2  ABAC — Attribute-Based Access Control</w:t>
      </w:r>
    </w:p>
    <w:p>
      <w:r>
        <w:rPr>
          <w:b w:val="0"/>
          <w:i w:val="0"/>
          <w:sz w:val="22"/>
        </w:rPr>
        <w:t>ABAC is the second gate. It answers: given everything we know about the subject, the resource, the action, and the environment — is this specific operation allowed? Attributes from three sources are assembled into a canonical input envelope and sent to OPA:</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Attribute Category</w:t>
            </w:r>
          </w:p>
        </w:tc>
        <w:tc>
          <w:tcPr>
            <w:tcW w:type="dxa" w:w="2880"/>
          </w:tcPr>
          <w:p>
            <w:r>
              <w:rPr>
                <w:b/>
              </w:rPr>
              <w:t>Source</w:t>
            </w:r>
          </w:p>
        </w:tc>
        <w:tc>
          <w:tcPr>
            <w:tcW w:type="dxa" w:w="2880"/>
          </w:tcPr>
          <w:p>
            <w:r>
              <w:rPr>
                <w:b/>
              </w:rPr>
              <w:t>Examples</w:t>
            </w:r>
          </w:p>
        </w:tc>
      </w:tr>
      <w:tr>
        <w:tc>
          <w:tcPr>
            <w:tcW w:type="dxa" w:w="2880"/>
          </w:tcPr>
          <w:p>
            <w:r>
              <w:t>Subject</w:t>
            </w:r>
          </w:p>
        </w:tc>
        <w:tc>
          <w:tcPr>
            <w:tcW w:type="dxa" w:w="2880"/>
          </w:tcPr>
          <w:p>
            <w:r>
              <w:t>JWT claims + DB</w:t>
            </w:r>
          </w:p>
        </w:tc>
        <w:tc>
          <w:tcPr>
            <w:tcW w:type="dxa" w:w="2880"/>
          </w:tcPr>
          <w:p>
            <w:r>
              <w:t>user ID, tenant ID, departments, roles, permissions, MFA state</w:t>
            </w:r>
          </w:p>
        </w:tc>
      </w:tr>
      <w:tr>
        <w:tc>
          <w:tcPr>
            <w:tcW w:type="dxa" w:w="2880"/>
          </w:tcPr>
          <w:p>
            <w:r>
              <w:t>Resource</w:t>
            </w:r>
          </w:p>
        </w:tc>
        <w:tc>
          <w:tcPr>
            <w:tcW w:type="dxa" w:w="2880"/>
          </w:tcPr>
          <w:p>
            <w:r>
              <w:t>Loaded entity</w:t>
            </w:r>
          </w:p>
        </w:tc>
        <w:tc>
          <w:tcPr>
            <w:tcW w:type="dxa" w:w="2880"/>
          </w:tcPr>
          <w:p>
            <w:r>
              <w:t>type, entity ID, tenant ID</w:t>
            </w:r>
          </w:p>
        </w:tc>
      </w:tr>
      <w:tr>
        <w:tc>
          <w:tcPr>
            <w:tcW w:type="dxa" w:w="2880"/>
          </w:tcPr>
          <w:p>
            <w:r>
              <w:t>Environment</w:t>
            </w:r>
          </w:p>
        </w:tc>
        <w:tc>
          <w:tcPr>
            <w:tcW w:type="dxa" w:w="2880"/>
          </w:tcPr>
          <w:p>
            <w:r>
              <w:t>HTTP context</w:t>
            </w:r>
          </w:p>
        </w:tc>
        <w:tc>
          <w:tcPr>
            <w:tcW w:type="dxa" w:w="2880"/>
          </w:tcPr>
          <w:p>
            <w:r>
              <w:t>IP address, network classification, UTC timestamp</w:t>
            </w:r>
          </w:p>
        </w:tc>
      </w:tr>
    </w:tbl>
    <w:p/>
    <w:p>
      <w:pPr>
        <w:pStyle w:val="Heading2"/>
      </w:pPr>
      <w:r>
        <w:t>2.3  OPA — Open Policy Agent</w:t>
      </w:r>
    </w:p>
    <w:p>
      <w:r>
        <w:rPr>
          <w:b w:val="0"/>
          <w:i w:val="0"/>
          <w:sz w:val="22"/>
        </w:rPr>
        <w:t>OPA is a general-purpose policy engine that evaluates Rego policies. In IFX, OPA runs as a sidecar container (openpolicyagent/opa:0.70.0-static) and is called by the .NET application over HTTP. OPA is the sole execution environment for ABAC policies.</w:t>
      </w:r>
    </w:p>
    <w:p/>
    <w:p>
      <w:r>
        <w:rPr>
          <w:b/>
          <w:i w:val="0"/>
          <w:sz w:val="22"/>
        </w:rPr>
        <w:t>OPA's responsibilities in IFX:</w:t>
      </w:r>
    </w:p>
    <w:p>
      <w:pPr>
        <w:pStyle w:val="ListBullet"/>
        <w:ind w:left="360"/>
      </w:pPr>
      <w:r>
        <w:t>Evaluate resource-level rules (same tenant, self-read, ownership, sensitivity).</w:t>
      </w:r>
    </w:p>
    <w:p>
      <w:pPr>
        <w:pStyle w:val="ListBullet"/>
        <w:ind w:left="360"/>
      </w:pPr>
      <w:r>
        <w:t>Return a binary allow / deny decision.</w:t>
      </w:r>
    </w:p>
    <w:p>
      <w:pPr>
        <w:pStyle w:val="ListBullet"/>
        <w:ind w:left="360"/>
      </w:pPr>
      <w:r>
        <w:t>Serve as the versioned, auditable policy store — Rego files live in policies/ alongside application code.</w:t>
      </w:r>
    </w:p>
    <w:p>
      <w:pPr>
        <w:pStyle w:val="ListBullet"/>
        <w:ind w:left="360"/>
      </w:pPr>
      <w:r>
        <w:t>Enforce tenant isolation independently of the database layer (defense-in-depth).</w:t>
      </w:r>
    </w:p>
    <w:p/>
    <w:p>
      <w:r>
        <w:rPr>
          <w:b/>
          <w:i w:val="0"/>
          <w:sz w:val="22"/>
        </w:rPr>
        <w:t>OPA is NOT responsible for:</w:t>
      </w:r>
    </w:p>
    <w:p>
      <w:pPr>
        <w:pStyle w:val="ListBullet"/>
        <w:ind w:left="360"/>
      </w:pPr>
      <w:r>
        <w:t>Authentication (handled by AWS Cognito / OIDC).</w:t>
      </w:r>
    </w:p>
    <w:p>
      <w:pPr>
        <w:pStyle w:val="ListBullet"/>
        <w:ind w:left="360"/>
      </w:pPr>
      <w:r>
        <w:t>Coarse-grained permission presence checks (that is RBAC's role).</w:t>
      </w:r>
    </w:p>
    <w:p>
      <w:pPr>
        <w:pStyle w:val="ListBullet"/>
        <w:ind w:left="360"/>
      </w:pPr>
      <w:r>
        <w:t>Data retrieval — OPA receives pre-assembled attributes, it does not query the database.</w:t>
      </w:r>
    </w:p>
    <w:p>
      <w:pPr>
        <w:pStyle w:val="Heading1"/>
      </w:pPr>
      <w:r>
        <w:t>3. IFX.BuildingBlocks.Security</w:t>
      </w:r>
    </w:p>
    <w:p>
      <w:r>
        <w:rPr>
          <w:b w:val="0"/>
          <w:i w:val="0"/>
          <w:sz w:val="22"/>
        </w:rPr>
        <w:t>The cross-cutting security project contains all authorization abstractions and their implementations. It has no dependency on any business module (Auth, etc.) — only on framework packages. This ensures the security layer can be reused by future modules without introducing circular dependencies.</w:t>
      </w:r>
    </w:p>
    <w:p/>
    <w:p>
      <w:pPr>
        <w:pStyle w:val="Heading2"/>
      </w:pPr>
      <w:r>
        <w:t>3.1  Key Abstractions</w:t>
      </w:r>
    </w:p>
    <w:tbl>
      <w:tblPr>
        <w:tblStyle w:val="TableGrid"/>
        <w:tblW w:type="auto" w:w="0"/>
        <w:tblLook w:firstColumn="1" w:firstRow="1" w:lastColumn="0" w:lastRow="0" w:noHBand="0" w:noVBand="1" w:val="04A0"/>
      </w:tblPr>
      <w:tblGrid>
        <w:gridCol w:w="4320"/>
        <w:gridCol w:w="4320"/>
      </w:tblGrid>
      <w:tr>
        <w:tc>
          <w:tcPr>
            <w:tcW w:type="dxa" w:w="4320"/>
          </w:tcPr>
          <w:p>
            <w:r>
              <w:rPr>
                <w:b/>
              </w:rPr>
              <w:t>Abstraction</w:t>
            </w:r>
          </w:p>
        </w:tc>
        <w:tc>
          <w:tcPr>
            <w:tcW w:type="dxa" w:w="4320"/>
          </w:tcPr>
          <w:p>
            <w:r>
              <w:rPr>
                <w:b/>
              </w:rPr>
              <w:t>Purpose</w:t>
            </w:r>
          </w:p>
        </w:tc>
      </w:tr>
      <w:tr>
        <w:tc>
          <w:tcPr>
            <w:tcW w:type="dxa" w:w="4320"/>
          </w:tcPr>
          <w:p>
            <w:r>
              <w:t>ICurrentUser</w:t>
            </w:r>
          </w:p>
        </w:tc>
        <w:tc>
          <w:tcPr>
            <w:tcW w:type="dxa" w:w="4320"/>
          </w:tcPr>
          <w:p>
            <w:r>
              <w:t>Provides the caller's identity and permission set for the current request scope. Properties: UserId, TenantId, Departments, Roles, Permissions, MfaEnabled.</w:t>
            </w:r>
          </w:p>
        </w:tc>
      </w:tr>
      <w:tr>
        <w:tc>
          <w:tcPr>
            <w:tcW w:type="dxa" w:w="4320"/>
          </w:tcPr>
          <w:p>
            <w:r>
              <w:t>IPermissionChecker</w:t>
            </w:r>
          </w:p>
        </w:tc>
        <w:tc>
          <w:tcPr>
            <w:tcW w:type="dxa" w:w="4320"/>
          </w:tcPr>
          <w:p>
            <w:r>
              <w:t>Checks whether ICurrentUser holds a named permission. Thin wrapper over ICurrentUser.Permissions.</w:t>
            </w:r>
          </w:p>
        </w:tc>
      </w:tr>
      <w:tr>
        <w:tc>
          <w:tcPr>
            <w:tcW w:type="dxa" w:w="4320"/>
          </w:tcPr>
          <w:p>
            <w:r>
              <w:t>IOpaPolicyClient</w:t>
            </w:r>
          </w:p>
        </w:tc>
        <w:tc>
          <w:tcPr>
            <w:tcW w:type="dxa" w:w="4320"/>
          </w:tcPr>
          <w:p>
            <w:r>
              <w:t>Sends the authorization envelope to OPA and returns an OpaDecisionResult (allow / deny).</w:t>
            </w:r>
          </w:p>
        </w:tc>
      </w:tr>
      <w:tr>
        <w:tc>
          <w:tcPr>
            <w:tcW w:type="dxa" w:w="4320"/>
          </w:tcPr>
          <w:p>
            <w:r>
              <w:t>IResourceAuthorizationService</w:t>
            </w:r>
          </w:p>
        </w:tc>
        <w:tc>
          <w:tcPr>
            <w:tcW w:type="dxa" w:w="4320"/>
          </w:tcPr>
          <w:p>
            <w:r>
              <w:t>Orchestrates the two-layer check (RBAC gate then OPA). Called by Application layer handlers.</w:t>
            </w:r>
          </w:p>
        </w:tc>
      </w:tr>
    </w:tbl>
    <w:p/>
    <w:p>
      <w:pPr>
        <w:pStyle w:val="Heading2"/>
      </w:pPr>
      <w:r>
        <w:t>3.2  Implementations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Class</w:t>
            </w:r>
          </w:p>
        </w:tc>
        <w:tc>
          <w:tcPr>
            <w:tcW w:type="dxa" w:w="2880"/>
          </w:tcPr>
          <w:p>
            <w:r>
              <w:rPr>
                <w:b/>
              </w:rPr>
              <w:t>Implements</w:t>
            </w:r>
          </w:p>
        </w:tc>
        <w:tc>
          <w:tcPr>
            <w:tcW w:type="dxa" w:w="2880"/>
          </w:tcPr>
          <w:p>
            <w:r>
              <w:rPr>
                <w:b/>
              </w:rPr>
              <w:t>Notes</w:t>
            </w:r>
          </w:p>
        </w:tc>
      </w:tr>
      <w:tr>
        <w:tc>
          <w:tcPr>
            <w:tcW w:type="dxa" w:w="2880"/>
          </w:tcPr>
          <w:p>
            <w:r>
              <w:t>CurrentUser</w:t>
            </w:r>
          </w:p>
        </w:tc>
        <w:tc>
          <w:tcPr>
            <w:tcW w:type="dxa" w:w="2880"/>
          </w:tcPr>
          <w:p>
            <w:r>
              <w:t>ICurrentUser</w:t>
            </w:r>
          </w:p>
        </w:tc>
        <w:tc>
          <w:tcPr>
            <w:tcW w:type="dxa" w:w="2880"/>
          </w:tcPr>
          <w:p>
            <w:r>
              <w:t>Reads X-Tenant-Id header, validates against tenant claims, falls back to tenant_id JWT claim. Scoped lifetime.</w:t>
            </w:r>
          </w:p>
        </w:tc>
      </w:tr>
      <w:tr>
        <w:tc>
          <w:tcPr>
            <w:tcW w:type="dxa" w:w="2880"/>
          </w:tcPr>
          <w:p>
            <w:r>
              <w:t>PermissionChecker</w:t>
            </w:r>
          </w:p>
        </w:tc>
        <w:tc>
          <w:tcPr>
            <w:tcW w:type="dxa" w:w="2880"/>
          </w:tcPr>
          <w:p>
            <w:r>
              <w:t>IPermissionChecker</w:t>
            </w:r>
          </w:p>
        </w:tc>
        <w:tc>
          <w:tcPr>
            <w:tcW w:type="dxa" w:w="2880"/>
          </w:tcPr>
          <w:p>
            <w:r>
              <w:t>Delegates to ICurrentUser.Permissions. Scoped lifetime.</w:t>
            </w:r>
          </w:p>
        </w:tc>
      </w:tr>
      <w:tr>
        <w:tc>
          <w:tcPr>
            <w:tcW w:type="dxa" w:w="2880"/>
          </w:tcPr>
          <w:p>
            <w:r>
              <w:t>OpaClient</w:t>
            </w:r>
          </w:p>
        </w:tc>
        <w:tc>
          <w:tcPr>
            <w:tcW w:type="dxa" w:w="2880"/>
          </w:tcPr>
          <w:p>
            <w:r>
              <w:t>IOpaPolicyClient</w:t>
            </w:r>
          </w:p>
        </w:tc>
        <w:tc>
          <w:tcPr>
            <w:tcW w:type="dxa" w:w="2880"/>
          </w:tcPr>
          <w:p>
            <w:r>
              <w:t>HttpClient-backed; structured logging; fail-closed on timeout/error. Singleton lifetime.</w:t>
            </w:r>
          </w:p>
        </w:tc>
      </w:tr>
      <w:tr>
        <w:tc>
          <w:tcPr>
            <w:tcW w:type="dxa" w:w="2880"/>
          </w:tcPr>
          <w:p>
            <w:r>
              <w:t>NullOpaPolicyClient</w:t>
            </w:r>
          </w:p>
        </w:tc>
        <w:tc>
          <w:tcPr>
            <w:tcW w:type="dxa" w:w="2880"/>
          </w:tcPr>
          <w:p>
            <w:r>
              <w:t>IOpaPolicyClient</w:t>
            </w:r>
          </w:p>
        </w:tc>
        <w:tc>
          <w:tcPr>
            <w:tcW w:type="dxa" w:w="2880"/>
          </w:tcPr>
          <w:p>
            <w:r>
              <w:t>Always returns allow. Used when Opa:Enabled=false (local dev only). Singleton lifetime.</w:t>
            </w:r>
          </w:p>
        </w:tc>
      </w:tr>
      <w:tr>
        <w:tc>
          <w:tcPr>
            <w:tcW w:type="dxa" w:w="2880"/>
          </w:tcPr>
          <w:p>
            <w:r>
              <w:t>ResourceAuthorizationService</w:t>
            </w:r>
          </w:p>
        </w:tc>
        <w:tc>
          <w:tcPr>
            <w:tcW w:type="dxa" w:w="2880"/>
          </w:tcPr>
          <w:p>
            <w:r>
              <w:t>IResourceAuthorizationService</w:t>
            </w:r>
          </w:p>
        </w:tc>
        <w:tc>
          <w:tcPr>
            <w:tcW w:type="dxa" w:w="2880"/>
          </w:tcPr>
          <w:p>
            <w:r>
              <w:t>Orchestrates RBAC gate + OPA call. Throws ForbiddenException on deny. Scoped lifetime.</w:t>
            </w:r>
          </w:p>
        </w:tc>
      </w:tr>
    </w:tbl>
    <w:p/>
    <w:p>
      <w:pPr>
        <w:pStyle w:val="Heading1"/>
      </w:pPr>
      <w:r>
        <w:t>4. Tenant Context — X-Tenant-Id Header</w:t>
      </w:r>
    </w:p>
    <w:p>
      <w:r>
        <w:rPr>
          <w:b w:val="0"/>
          <w:i w:val="0"/>
          <w:sz w:val="22"/>
        </w:rPr>
        <w:t>The active tenant context for a request is conveyed through the X-Tenant-Id HTTP request header. This replaced the previous approach of passing tenantId as a query parameter, which leaked tenant context into URLs and server logs.</w:t>
      </w:r>
    </w:p>
    <w:p/>
    <w:p>
      <w:r>
        <w:rPr>
          <w:b/>
          <w:i w:val="0"/>
          <w:sz w:val="22"/>
        </w:rPr>
        <w:t>Resolution order in CurrentUser.TenantId:</w:t>
      </w:r>
    </w:p>
    <w:p>
      <w:pPr>
        <w:pStyle w:val="ListBullet"/>
        <w:ind w:left="360"/>
      </w:pPr>
      <w:r>
        <w:t>1. Read the X-Tenant-Id header value from the incoming request.</w:t>
      </w:r>
    </w:p>
    <w:p>
      <w:pPr>
        <w:pStyle w:val="ListBullet"/>
        <w:ind w:left="360"/>
      </w:pPr>
      <w:r>
        <w:t>2. Validate the value against the caller's tenant claims (populated at login from the user's actual DB memberships).</w:t>
      </w:r>
    </w:p>
    <w:p>
      <w:pPr>
        <w:pStyle w:val="ListBullet"/>
        <w:ind w:left="360"/>
      </w:pPr>
      <w:r>
        <w:t>3. If valid — return the header value as the active tenant context.</w:t>
      </w:r>
    </w:p>
    <w:p>
      <w:pPr>
        <w:pStyle w:val="ListBullet"/>
        <w:ind w:left="360"/>
      </w:pPr>
      <w:r>
        <w:t>4. If absent or invalid — fall back to the tenant_id JWT claim (primary tenant).</w:t>
      </w:r>
    </w:p>
    <w:p/>
    <w:p>
      <w:r>
        <w:rPr>
          <w:b/>
          <w:i w:val="0"/>
          <w:sz w:val="22"/>
        </w:rPr>
        <w:t>Security property:</w:t>
      </w:r>
    </w:p>
    <w:p>
      <w:r>
        <w:rPr>
          <w:b w:val="0"/>
          <w:i w:val="0"/>
          <w:sz w:val="22"/>
        </w:rPr>
        <w:t>A user cannot spoof a tenant they do not belong to. The tenant claims in the JWT are populated server-side at login from the user's actual tenant memberships in the database. The frontend sends X-Tenant-Id automatically via an axios interceptor; the value is persisted to localStorage by the tenant switcher.</w:t>
      </w:r>
    </w:p>
    <w:p>
      <w:pPr>
        <w:pStyle w:val="Heading1"/>
      </w:pPr>
      <w:r>
        <w:t>5. Authorization Workflow</w:t>
      </w:r>
    </w:p>
    <w:p>
      <w:r>
        <w:rPr>
          <w:b w:val="0"/>
          <w:i w:val="0"/>
          <w:sz w:val="22"/>
        </w:rPr>
        <w:t>The following sequence describes a protected resource read (example: GET /api/v1/user/profile):</w:t>
      </w:r>
    </w:p>
    <w:p/>
    <w:p>
      <w:r>
        <w:rPr>
          <w:b/>
          <w:sz w:val="22"/>
        </w:rPr>
        <w:t>Step 1 — HTTP Request arrives</w:t>
      </w:r>
    </w:p>
    <w:p>
      <w:r>
        <w:rPr>
          <w:b w:val="0"/>
          <w:i w:val="0"/>
          <w:sz w:val="22"/>
        </w:rPr>
        <w:t>Client sends GET /api/v1/user/profile with Authorization: Bearer &lt;JWT&gt; and X-Tenant-Id: &lt;tenantId&gt;.</w:t>
      </w:r>
    </w:p>
    <w:p/>
    <w:p>
      <w:r>
        <w:rPr>
          <w:b/>
          <w:sz w:val="22"/>
        </w:rPr>
        <w:t>Step 2 — Authentication middleware</w:t>
      </w:r>
    </w:p>
    <w:p>
      <w:r>
        <w:rPr>
          <w:b w:val="0"/>
          <w:i w:val="0"/>
          <w:sz w:val="22"/>
        </w:rPr>
        <w:t>ASP.NET Core JWT middleware validates the token signature and expiry. Claims are extracted and made available on HttpContext.User. UserPermissionClaimsTransformation emits a tenant claim for each of the user's tenant memberships.</w:t>
      </w:r>
    </w:p>
    <w:p/>
    <w:p>
      <w:r>
        <w:rPr>
          <w:b/>
          <w:sz w:val="22"/>
        </w:rPr>
        <w:t>Step 3 — Endpoint delegates to MediatR</w:t>
      </w:r>
    </w:p>
    <w:p>
      <w:r>
        <w:rPr>
          <w:b w:val="0"/>
          <w:i w:val="0"/>
          <w:sz w:val="22"/>
        </w:rPr>
        <w:t>The Minimal API endpoint sends GetUserProfileQuery to the MediatR pipeline. No authorization logic lives in the endpoint layer.</w:t>
      </w:r>
    </w:p>
    <w:p/>
    <w:p>
      <w:r>
        <w:rPr>
          <w:b/>
          <w:sz w:val="22"/>
        </w:rPr>
        <w:t>Step 4 — Handler loads the resource</w:t>
      </w:r>
    </w:p>
    <w:p>
      <w:r>
        <w:rPr>
          <w:b w:val="0"/>
          <w:i w:val="0"/>
          <w:sz w:val="22"/>
        </w:rPr>
        <w:t>GetUserProfileQueryHandler queries the database for the target user. This happens BEFORE authorization (post-load pattern) so OPA can inspect real resource attributes.</w:t>
      </w:r>
    </w:p>
    <w:p/>
    <w:p>
      <w:r>
        <w:rPr>
          <w:b/>
          <w:sz w:val="22"/>
        </w:rPr>
        <w:t>Step 5 — RBAC gate</w:t>
      </w:r>
    </w:p>
    <w:p>
      <w:r>
        <w:rPr>
          <w:b w:val="0"/>
          <w:i w:val="0"/>
          <w:sz w:val="22"/>
        </w:rPr>
        <w:t>IResourceAuthorizationService.AuthorizeAsync is called. For self-read, requiredPermission is null and the RBAC gate is skipped. For admin operations, IPermissionChecker.HasPermissionAsync is called and throws ForbiddenException (-&gt; HTTP 403) on failure.</w:t>
      </w:r>
    </w:p>
    <w:p/>
    <w:p>
      <w:r>
        <w:rPr>
          <w:b/>
          <w:sz w:val="22"/>
        </w:rPr>
        <w:t>Step 6 — Build OPA envelope</w:t>
      </w:r>
    </w:p>
    <w:p>
      <w:r>
        <w:rPr>
          <w:b w:val="0"/>
          <w:i w:val="0"/>
          <w:sz w:val="22"/>
        </w:rPr>
        <w:t>ResourceAuthorizationService assembles the OpaAuthorizationEnvelope: subject attributes from ICurrentUser, resource attributes from UserResourceAttributes (type, id, tenant_id = ICurrentUser.TenantId — the active context, not the entity's PrimaryTenantId), environment from HttpContext.</w:t>
      </w:r>
    </w:p>
    <w:p/>
    <w:p>
      <w:r>
        <w:rPr>
          <w:b/>
          <w:sz w:val="22"/>
        </w:rPr>
        <w:t>Step 7 — OPA policy evaluation</w:t>
      </w:r>
    </w:p>
    <w:p>
      <w:r>
        <w:rPr>
          <w:b w:val="0"/>
          <w:i w:val="0"/>
          <w:sz w:val="22"/>
        </w:rPr>
        <w:t>OpaClient sends POST /v1/data/authz/auth/read_user to the OPA sidecar. OPA evaluates the Rego policy. allow is true if: same_tenant AND (self-read OR has users.read permission). OPA returns { "result": { "allow": true/false } }.</w:t>
      </w:r>
    </w:p>
    <w:p/>
    <w:p>
      <w:r>
        <w:rPr>
          <w:b/>
          <w:sz w:val="22"/>
        </w:rPr>
        <w:t>Step 8 — Decision applied</w:t>
      </w:r>
    </w:p>
    <w:p>
      <w:r>
        <w:rPr>
          <w:b w:val="0"/>
          <w:i w:val="0"/>
          <w:sz w:val="22"/>
        </w:rPr>
        <w:t>If allow = false, ResourceAuthorizationService throws ForbiddenException. ExceptionHandlingMiddleware maps it to HTTP 403 with a standard ApiResponse error body.</w:t>
      </w:r>
    </w:p>
    <w:p/>
    <w:p>
      <w:r>
        <w:rPr>
          <w:b/>
          <w:sz w:val="22"/>
        </w:rPr>
        <w:t>Step 9 — Response returned</w:t>
      </w:r>
    </w:p>
    <w:p>
      <w:r>
        <w:rPr>
          <w:b w:val="0"/>
          <w:i w:val="0"/>
          <w:sz w:val="22"/>
        </w:rPr>
        <w:t>If allow = true, the handler maps the user entity to a DTO and returns HTTP 200 OK.</w:t>
      </w:r>
    </w:p>
    <w:p/>
    <w:p>
      <w:pPr>
        <w:pStyle w:val="Heading2"/>
      </w:pPr>
      <w:r>
        <w:t>5.1  Authorization Flowchart</w:t>
      </w:r>
    </w:p>
    <w:p>
      <w:r>
        <w:rPr>
          <w:b w:val="0"/>
          <w:i w:val="0"/>
          <w:sz w:val="22"/>
        </w:rPr>
        <w:t>The diagram below shows the decision flow for every protected operation:</w:t>
      </w:r>
    </w:p>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Incoming HTTP Request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v</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JWT Authentication (ASP.NET Core middleware)                 |</w:t>
      </w:r>
    </w:p>
    <w:p>
      <w:pPr>
        <w:pStyle w:val="NoSpacing"/>
        <w:shd w:val="clear" w:color="auto" w:fill="F0F0F0"/>
      </w:pPr>
      <w:r>
        <w:rPr>
          <w:rFonts w:ascii="Courier New" w:hAnsi="Courier New"/>
          <w:color w:val="222222"/>
          <w:sz w:val="17"/>
        </w:rPr>
        <w:t xml:space="preserve">  |  Validates token; extracts claims (user ID, tenant_id,        |</w:t>
      </w:r>
    </w:p>
    <w:p>
      <w:pPr>
        <w:pStyle w:val="NoSpacing"/>
        <w:shd w:val="clear" w:color="auto" w:fill="F0F0F0"/>
      </w:pPr>
      <w:r>
        <w:rPr>
          <w:rFonts w:ascii="Courier New" w:hAnsi="Courier New"/>
          <w:color w:val="222222"/>
          <w:sz w:val="17"/>
        </w:rPr>
        <w:t xml:space="preserve">  |  tenant[], roles, permissions, departments, mfa)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v</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MediatR Handler -- Load Resource from Database               |</w:t>
      </w:r>
    </w:p>
    <w:p>
      <w:pPr>
        <w:pStyle w:val="NoSpacing"/>
        <w:shd w:val="clear" w:color="auto" w:fill="F0F0F0"/>
      </w:pPr>
      <w:r>
        <w:rPr>
          <w:rFonts w:ascii="Courier New" w:hAnsi="Courier New"/>
          <w:color w:val="222222"/>
          <w:sz w:val="17"/>
        </w:rPr>
        <w:t xml:space="preserve">  |  (post-load pattern: load first, authorize after)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v</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IResourceAuthorizationService.AuthorizeAsync()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requiredPermission == null?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YES |                                | NO</w:t>
      </w:r>
    </w:p>
    <w:p>
      <w:pPr>
        <w:pStyle w:val="NoSpacing"/>
        <w:shd w:val="clear" w:color="auto" w:fill="F0F0F0"/>
      </w:pPr>
      <w:r>
        <w:rPr>
          <w:rFonts w:ascii="Courier New" w:hAnsi="Courier New"/>
          <w:color w:val="222222"/>
          <w:sz w:val="17"/>
        </w:rPr>
        <w:t xml:space="preserve">                 |                                v</w:t>
      </w:r>
    </w:p>
    <w:p>
      <w:pPr>
        <w:pStyle w:val="NoSpacing"/>
        <w:shd w:val="clear" w:color="auto" w:fill="F0F0F0"/>
      </w:pPr>
      <w:r>
        <w:rPr>
          <w:rFonts w:ascii="Courier New" w:hAnsi="Courier New"/>
          <w:color w:val="222222"/>
          <w:sz w:val="17"/>
        </w:rPr>
        <w:t xml:space="preserve">                 |              +---------------------------------+</w:t>
      </w:r>
    </w:p>
    <w:p>
      <w:pPr>
        <w:pStyle w:val="NoSpacing"/>
        <w:shd w:val="clear" w:color="auto" w:fill="F0F0F0"/>
      </w:pPr>
      <w:r>
        <w:rPr>
          <w:rFonts w:ascii="Courier New" w:hAnsi="Courier New"/>
          <w:color w:val="222222"/>
          <w:sz w:val="17"/>
        </w:rPr>
        <w:t xml:space="preserve">                 |              |  IPermissionChecker             |</w:t>
      </w:r>
    </w:p>
    <w:p>
      <w:pPr>
        <w:pStyle w:val="NoSpacing"/>
        <w:shd w:val="clear" w:color="auto" w:fill="F0F0F0"/>
      </w:pPr>
      <w:r>
        <w:rPr>
          <w:rFonts w:ascii="Courier New" w:hAnsi="Courier New"/>
          <w:color w:val="222222"/>
          <w:sz w:val="17"/>
        </w:rPr>
        <w:t xml:space="preserve">                 |              |  HasPermissionAsync()           |</w:t>
      </w:r>
    </w:p>
    <w:p>
      <w:pPr>
        <w:pStyle w:val="NoSpacing"/>
        <w:shd w:val="clear" w:color="auto" w:fill="F0F0F0"/>
      </w:pPr>
      <w:r>
        <w:rPr>
          <w:rFonts w:ascii="Courier New" w:hAnsi="Courier New"/>
          <w:color w:val="222222"/>
          <w:sz w:val="17"/>
        </w:rPr>
        <w:t xml:space="preserve">                 |              +----------------+----------------+</w:t>
      </w:r>
    </w:p>
    <w:p>
      <w:pPr>
        <w:pStyle w:val="NoSpacing"/>
        <w:shd w:val="clear" w:color="auto" w:fill="F0F0F0"/>
      </w:pPr>
      <w:r>
        <w:rPr>
          <w:rFonts w:ascii="Courier New" w:hAnsi="Courier New"/>
          <w:color w:val="222222"/>
          <w:sz w:val="17"/>
        </w:rPr>
        <w:t xml:space="preserve">                 |            YES |               | NO</w:t>
      </w:r>
    </w:p>
    <w:p>
      <w:pPr>
        <w:pStyle w:val="NoSpacing"/>
        <w:shd w:val="clear" w:color="auto" w:fill="F0F0F0"/>
      </w:pPr>
      <w:r>
        <w:rPr>
          <w:rFonts w:ascii="Courier New" w:hAnsi="Courier New"/>
          <w:color w:val="222222"/>
          <w:sz w:val="17"/>
        </w:rPr>
        <w:t xml:space="preserve">                 |               |               v</w:t>
      </w:r>
    </w:p>
    <w:p>
      <w:pPr>
        <w:pStyle w:val="NoSpacing"/>
        <w:shd w:val="clear" w:color="auto" w:fill="F0F0F0"/>
      </w:pPr>
      <w:r>
        <w:rPr>
          <w:rFonts w:ascii="Courier New" w:hAnsi="Courier New"/>
          <w:color w:val="222222"/>
          <w:sz w:val="17"/>
        </w:rPr>
        <w:t xml:space="preserve">                 |               |     +-----------------------+</w:t>
      </w:r>
    </w:p>
    <w:p>
      <w:pPr>
        <w:pStyle w:val="NoSpacing"/>
        <w:shd w:val="clear" w:color="auto" w:fill="F0F0F0"/>
      </w:pPr>
      <w:r>
        <w:rPr>
          <w:rFonts w:ascii="Courier New" w:hAnsi="Courier New"/>
          <w:color w:val="222222"/>
          <w:sz w:val="17"/>
        </w:rPr>
        <w:t xml:space="preserve">                 |               |     |  ForbiddenException   |</w:t>
      </w:r>
    </w:p>
    <w:p>
      <w:pPr>
        <w:pStyle w:val="NoSpacing"/>
        <w:shd w:val="clear" w:color="auto" w:fill="F0F0F0"/>
      </w:pPr>
      <w:r>
        <w:rPr>
          <w:rFonts w:ascii="Courier New" w:hAnsi="Courier New"/>
          <w:color w:val="222222"/>
          <w:sz w:val="17"/>
        </w:rPr>
        <w:t xml:space="preserve">                 |               |     |  --&gt; HTTP 403         |</w:t>
      </w:r>
    </w:p>
    <w:p>
      <w:pPr>
        <w:pStyle w:val="NoSpacing"/>
        <w:shd w:val="clear" w:color="auto" w:fill="F0F0F0"/>
      </w:pPr>
      <w:r>
        <w:rPr>
          <w:rFonts w:ascii="Courier New" w:hAnsi="Courier New"/>
          <w:color w:val="222222"/>
          <w:sz w:val="17"/>
        </w:rPr>
        <w:t xml:space="preserve">                 |               |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v</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Build OpaAuthorizationEnvelope                               |</w:t>
      </w:r>
    </w:p>
    <w:p>
      <w:pPr>
        <w:pStyle w:val="NoSpacing"/>
        <w:shd w:val="clear" w:color="auto" w:fill="F0F0F0"/>
      </w:pPr>
      <w:r>
        <w:rPr>
          <w:rFonts w:ascii="Courier New" w:hAnsi="Courier New"/>
          <w:color w:val="222222"/>
          <w:sz w:val="17"/>
        </w:rPr>
        <w:t xml:space="preserve">  |  subject    &lt;- ICurrentUser (id, tenant_id, permissions ...)  |</w:t>
      </w:r>
    </w:p>
    <w:p>
      <w:pPr>
        <w:pStyle w:val="NoSpacing"/>
        <w:shd w:val="clear" w:color="auto" w:fill="F0F0F0"/>
      </w:pPr>
      <w:r>
        <w:rPr>
          <w:rFonts w:ascii="Courier New" w:hAnsi="Courier New"/>
          <w:color w:val="222222"/>
          <w:sz w:val="17"/>
        </w:rPr>
        <w:t xml:space="preserve">  |  resource   &lt;- loaded entity (type, id, tenant_id)           |</w:t>
      </w:r>
    </w:p>
    <w:p>
      <w:pPr>
        <w:pStyle w:val="NoSpacing"/>
        <w:shd w:val="clear" w:color="auto" w:fill="F0F0F0"/>
      </w:pPr>
      <w:r>
        <w:rPr>
          <w:rFonts w:ascii="Courier New" w:hAnsi="Courier New"/>
          <w:color w:val="222222"/>
          <w:sz w:val="17"/>
        </w:rPr>
        <w:t xml:space="preserve">  |  action     &lt;- "read" / "write" / ...                        |</w:t>
      </w:r>
    </w:p>
    <w:p>
      <w:pPr>
        <w:pStyle w:val="NoSpacing"/>
        <w:shd w:val="clear" w:color="auto" w:fill="F0F0F0"/>
      </w:pPr>
      <w:r>
        <w:rPr>
          <w:rFonts w:ascii="Courier New" w:hAnsi="Courier New"/>
          <w:color w:val="222222"/>
          <w:sz w:val="17"/>
        </w:rPr>
        <w:t xml:space="preserve">  |  environment&lt;- IP, network, UTC timestamp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v</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OpaClient --&gt; POST /v1/data/{policy-path}                    |</w:t>
      </w:r>
    </w:p>
    <w:p>
      <w:pPr>
        <w:pStyle w:val="NoSpacing"/>
        <w:shd w:val="clear" w:color="auto" w:fill="F0F0F0"/>
      </w:pPr>
      <w:r>
        <w:rPr>
          <w:rFonts w:ascii="Courier New" w:hAnsi="Courier New"/>
          <w:color w:val="222222"/>
          <w:sz w:val="17"/>
        </w:rPr>
        <w:t xml:space="preserve">  |  OPA container evaluates Rego policy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OPA reachable?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YES |                                | NO</w:t>
      </w:r>
    </w:p>
    <w:p>
      <w:pPr>
        <w:pStyle w:val="NoSpacing"/>
        <w:shd w:val="clear" w:color="auto" w:fill="F0F0F0"/>
      </w:pPr>
      <w:r>
        <w:rPr>
          <w:rFonts w:ascii="Courier New" w:hAnsi="Courier New"/>
          <w:color w:val="222222"/>
          <w:sz w:val="17"/>
        </w:rPr>
        <w:t xml:space="preserve">                 |                                v</w:t>
      </w:r>
    </w:p>
    <w:p>
      <w:pPr>
        <w:pStyle w:val="NoSpacing"/>
        <w:shd w:val="clear" w:color="auto" w:fill="F0F0F0"/>
      </w:pPr>
      <w:r>
        <w:rPr>
          <w:rFonts w:ascii="Courier New" w:hAnsi="Courier New"/>
          <w:color w:val="222222"/>
          <w:sz w:val="17"/>
        </w:rPr>
        <w:t xml:space="preserve">                 |              +---------------------------------+</w:t>
      </w:r>
    </w:p>
    <w:p>
      <w:pPr>
        <w:pStyle w:val="NoSpacing"/>
        <w:shd w:val="clear" w:color="auto" w:fill="F0F0F0"/>
      </w:pPr>
      <w:r>
        <w:rPr>
          <w:rFonts w:ascii="Courier New" w:hAnsi="Courier New"/>
          <w:color w:val="222222"/>
          <w:sz w:val="17"/>
        </w:rPr>
        <w:t xml:space="preserve">                 |              |  FailClosed = true?             |</w:t>
      </w:r>
    </w:p>
    <w:p>
      <w:pPr>
        <w:pStyle w:val="NoSpacing"/>
        <w:shd w:val="clear" w:color="auto" w:fill="F0F0F0"/>
      </w:pPr>
      <w:r>
        <w:rPr>
          <w:rFonts w:ascii="Courier New" w:hAnsi="Courier New"/>
          <w:color w:val="222222"/>
          <w:sz w:val="17"/>
        </w:rPr>
        <w:t xml:space="preserve">                 |              |  YES -&gt; ForbiddenException 403  |</w:t>
      </w:r>
    </w:p>
    <w:p>
      <w:pPr>
        <w:pStyle w:val="NoSpacing"/>
        <w:shd w:val="clear" w:color="auto" w:fill="F0F0F0"/>
      </w:pPr>
      <w:r>
        <w:rPr>
          <w:rFonts w:ascii="Courier New" w:hAnsi="Courier New"/>
          <w:color w:val="222222"/>
          <w:sz w:val="17"/>
        </w:rPr>
        <w:t xml:space="preserve">                 |              |  NO  -&gt; allow (dev only)        |</w:t>
      </w:r>
    </w:p>
    <w:p>
      <w:pPr>
        <w:pStyle w:val="NoSpacing"/>
        <w:shd w:val="clear" w:color="auto" w:fill="F0F0F0"/>
      </w:pPr>
      <w:r>
        <w:rPr>
          <w:rFonts w:ascii="Courier New" w:hAnsi="Courier New"/>
          <w:color w:val="222222"/>
          <w:sz w:val="17"/>
        </w:rPr>
        <w:t xml:space="preserve">                 |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   allow = true?    |</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YES |             | NO</w:t>
      </w:r>
    </w:p>
    <w:p>
      <w:pPr>
        <w:pStyle w:val="NoSpacing"/>
        <w:shd w:val="clear" w:color="auto" w:fill="F0F0F0"/>
      </w:pPr>
      <w:r>
        <w:rPr>
          <w:rFonts w:ascii="Courier New" w:hAnsi="Courier New"/>
          <w:color w:val="222222"/>
          <w:sz w:val="17"/>
        </w:rPr>
        <w:t xml:space="preserve">                 v             v</w:t>
      </w:r>
    </w:p>
    <w:p>
      <w:pPr>
        <w:pStyle w:val="NoSpacing"/>
        <w:shd w:val="clear" w:color="auto" w:fill="F0F0F0"/>
      </w:pPr>
      <w:r>
        <w:rPr>
          <w:rFonts w:ascii="Courier New" w:hAnsi="Courier New"/>
          <w:color w:val="222222"/>
          <w:sz w:val="17"/>
        </w:rPr>
        <w:t xml:space="preserve">  +------------------+    +--------------------+</w:t>
      </w:r>
    </w:p>
    <w:p>
      <w:pPr>
        <w:pStyle w:val="NoSpacing"/>
        <w:shd w:val="clear" w:color="auto" w:fill="F0F0F0"/>
      </w:pPr>
      <w:r>
        <w:rPr>
          <w:rFonts w:ascii="Courier New" w:hAnsi="Courier New"/>
          <w:color w:val="222222"/>
          <w:sz w:val="17"/>
        </w:rPr>
        <w:t xml:space="preserve">  |  Return resource |    |  ForbiddenException |</w:t>
      </w:r>
    </w:p>
    <w:p>
      <w:pPr>
        <w:pStyle w:val="NoSpacing"/>
        <w:shd w:val="clear" w:color="auto" w:fill="F0F0F0"/>
      </w:pPr>
      <w:r>
        <w:rPr>
          <w:rFonts w:ascii="Courier New" w:hAnsi="Courier New"/>
          <w:color w:val="222222"/>
          <w:sz w:val="17"/>
        </w:rPr>
        <w:t xml:space="preserve">  |  data -- 200 OK  |    |  --&gt; HTTP 403       |</w:t>
      </w:r>
    </w:p>
    <w:p>
      <w:pPr>
        <w:pStyle w:val="NoSpacing"/>
        <w:shd w:val="clear" w:color="auto" w:fill="F0F0F0"/>
      </w:pPr>
      <w:r>
        <w:rPr>
          <w:rFonts w:ascii="Courier New" w:hAnsi="Courier New"/>
          <w:color w:val="222222"/>
          <w:sz w:val="17"/>
        </w:rPr>
        <w:t xml:space="preserve">  +------------------+    +--------------------+</w:t>
      </w:r>
    </w:p>
    <w:p/>
    <w:p>
      <w:pPr>
        <w:pStyle w:val="Heading1"/>
      </w:pPr>
      <w:r>
        <w:t>6. Rego Policy Structure</w:t>
      </w:r>
    </w:p>
    <w:p>
      <w:r>
        <w:rPr>
          <w:b w:val="0"/>
          <w:i w:val="0"/>
          <w:sz w:val="22"/>
        </w:rPr>
        <w:t>All Rego policies live in the policies/ directory alongside the application source code. They are versioned in git and loaded by the OPA container at startup.</w:t>
      </w:r>
    </w:p>
    <w:p/>
    <w:p>
      <w:pPr>
        <w:pStyle w:val="NoSpacing"/>
        <w:shd w:val="clear" w:color="auto" w:fill="F0F0F0"/>
      </w:pPr>
      <w:r>
        <w:rPr>
          <w:rFonts w:ascii="Courier New" w:hAnsi="Courier New"/>
          <w:color w:val="222222"/>
          <w:sz w:val="17"/>
        </w:rPr>
        <w:t>policies/</w:t>
      </w:r>
    </w:p>
    <w:p>
      <w:pPr>
        <w:pStyle w:val="NoSpacing"/>
        <w:shd w:val="clear" w:color="auto" w:fill="F0F0F0"/>
      </w:pPr>
      <w:r>
        <w:rPr>
          <w:rFonts w:ascii="Courier New" w:hAnsi="Courier New"/>
          <w:color w:val="222222"/>
          <w:sz w:val="17"/>
        </w:rPr>
        <w:t xml:space="preserve">  authz/</w:t>
      </w:r>
    </w:p>
    <w:p>
      <w:pPr>
        <w:pStyle w:val="NoSpacing"/>
        <w:shd w:val="clear" w:color="auto" w:fill="F0F0F0"/>
      </w:pPr>
      <w:r>
        <w:rPr>
          <w:rFonts w:ascii="Courier New" w:hAnsi="Courier New"/>
          <w:color w:val="222222"/>
          <w:sz w:val="17"/>
        </w:rPr>
        <w:t xml:space="preserve">    common/</w:t>
      </w:r>
    </w:p>
    <w:p>
      <w:pPr>
        <w:pStyle w:val="NoSpacing"/>
        <w:shd w:val="clear" w:color="auto" w:fill="F0F0F0"/>
      </w:pPr>
      <w:r>
        <w:rPr>
          <w:rFonts w:ascii="Courier New" w:hAnsi="Courier New"/>
          <w:color w:val="222222"/>
          <w:sz w:val="17"/>
        </w:rPr>
        <w:t xml:space="preserve">      tenant.rego      # same_tenant rule</w:t>
      </w:r>
    </w:p>
    <w:p>
      <w:pPr>
        <w:pStyle w:val="NoSpacing"/>
        <w:shd w:val="clear" w:color="auto" w:fill="F0F0F0"/>
      </w:pPr>
      <w:r>
        <w:rPr>
          <w:rFonts w:ascii="Courier New" w:hAnsi="Courier New"/>
          <w:color w:val="222222"/>
          <w:sz w:val="17"/>
        </w:rPr>
        <w:t xml:space="preserve">      mfa.rego         # mfa_satisfied rule</w:t>
      </w:r>
    </w:p>
    <w:p>
      <w:pPr>
        <w:pStyle w:val="NoSpacing"/>
        <w:shd w:val="clear" w:color="auto" w:fill="F0F0F0"/>
      </w:pPr>
      <w:r>
        <w:rPr>
          <w:rFonts w:ascii="Courier New" w:hAnsi="Courier New"/>
          <w:color w:val="222222"/>
          <w:sz w:val="17"/>
        </w:rPr>
        <w:t xml:space="preserve">      network.rego     # internal/external network helpers</w:t>
      </w:r>
    </w:p>
    <w:p>
      <w:pPr>
        <w:pStyle w:val="NoSpacing"/>
        <w:shd w:val="clear" w:color="auto" w:fill="F0F0F0"/>
      </w:pPr>
      <w:r>
        <w:rPr>
          <w:rFonts w:ascii="Courier New" w:hAnsi="Courier New"/>
          <w:color w:val="222222"/>
          <w:sz w:val="17"/>
        </w:rPr>
        <w:t xml:space="preserve">      helpers.rego     # default_deny, shared allow rules</w:t>
      </w:r>
    </w:p>
    <w:p>
      <w:pPr>
        <w:pStyle w:val="NoSpacing"/>
        <w:shd w:val="clear" w:color="auto" w:fill="F0F0F0"/>
      </w:pPr>
      <w:r>
        <w:rPr>
          <w:rFonts w:ascii="Courier New" w:hAnsi="Courier New"/>
          <w:color w:val="222222"/>
          <w:sz w:val="17"/>
        </w:rPr>
        <w:t xml:space="preserve">    auth/</w:t>
      </w:r>
    </w:p>
    <w:p>
      <w:pPr>
        <w:pStyle w:val="NoSpacing"/>
        <w:shd w:val="clear" w:color="auto" w:fill="F0F0F0"/>
      </w:pPr>
      <w:r>
        <w:rPr>
          <w:rFonts w:ascii="Courier New" w:hAnsi="Courier New"/>
          <w:color w:val="222222"/>
          <w:sz w:val="17"/>
        </w:rPr>
        <w:t xml:space="preserve">      read-user.rego   # pilot policy: read user profile</w:t>
      </w:r>
    </w:p>
    <w:p>
      <w:pPr>
        <w:pStyle w:val="NoSpacing"/>
        <w:shd w:val="clear" w:color="auto" w:fill="F0F0F0"/>
      </w:pPr>
      <w:r>
        <w:rPr>
          <w:rFonts w:ascii="Courier New" w:hAnsi="Courier New"/>
          <w:color w:val="222222"/>
          <w:sz w:val="17"/>
        </w:rPr>
        <w:t xml:space="preserve">      manage-role.rego</w:t>
      </w:r>
    </w:p>
    <w:p>
      <w:pPr>
        <w:pStyle w:val="NoSpacing"/>
        <w:shd w:val="clear" w:color="auto" w:fill="F0F0F0"/>
      </w:pPr>
      <w:r>
        <w:rPr>
          <w:rFonts w:ascii="Courier New" w:hAnsi="Courier New"/>
          <w:color w:val="222222"/>
          <w:sz w:val="17"/>
        </w:rPr>
        <w:t xml:space="preserve">  tests/</w:t>
      </w:r>
    </w:p>
    <w:p>
      <w:pPr>
        <w:pStyle w:val="NoSpacing"/>
        <w:shd w:val="clear" w:color="auto" w:fill="F0F0F0"/>
      </w:pPr>
      <w:r>
        <w:rPr>
          <w:rFonts w:ascii="Courier New" w:hAnsi="Courier New"/>
          <w:color w:val="222222"/>
          <w:sz w:val="17"/>
        </w:rPr>
        <w:t xml:space="preserve">    auth/</w:t>
      </w:r>
    </w:p>
    <w:p>
      <w:pPr>
        <w:pStyle w:val="NoSpacing"/>
        <w:shd w:val="clear" w:color="auto" w:fill="F0F0F0"/>
      </w:pPr>
      <w:r>
        <w:rPr>
          <w:rFonts w:ascii="Courier New" w:hAnsi="Courier New"/>
          <w:color w:val="222222"/>
          <w:sz w:val="17"/>
        </w:rPr>
        <w:t xml:space="preserve">      read_user_test.rego</w:t>
      </w:r>
    </w:p>
    <w:p>
      <w:pPr>
        <w:pStyle w:val="NoSpacing"/>
        <w:shd w:val="clear" w:color="auto" w:fill="F0F0F0"/>
      </w:pPr>
      <w:r>
        <w:rPr>
          <w:rFonts w:ascii="Courier New" w:hAnsi="Courier New"/>
          <w:color w:val="222222"/>
          <w:sz w:val="17"/>
        </w:rPr>
        <w:t xml:space="preserve">  README.md</w:t>
      </w:r>
    </w:p>
    <w:p/>
    <w:p>
      <w:pPr>
        <w:pStyle w:val="Heading2"/>
      </w:pPr>
      <w:r>
        <w:t>6.1  read-user Policy (Pilot)</w:t>
      </w:r>
    </w:p>
    <w:p>
      <w:r>
        <w:rPr>
          <w:b w:val="0"/>
          <w:i w:val="0"/>
          <w:sz w:val="22"/>
        </w:rPr>
        <w:t>Decision path: authz/auth/read_user</w:t>
      </w:r>
    </w:p>
    <w:p>
      <w:r>
        <w:rPr>
          <w:b w:val="0"/>
          <w:i w:val="0"/>
          <w:sz w:val="22"/>
        </w:rPr>
        <w:t>Allow if ALL of the following hold:</w:t>
      </w:r>
    </w:p>
    <w:p>
      <w:pPr>
        <w:pStyle w:val="ListBullet"/>
        <w:ind w:left="360"/>
      </w:pPr>
      <w:r>
        <w:t>same_tenant  =&gt;  subject.tenant_id == resource.tenant_id</w:t>
      </w:r>
    </w:p>
    <w:p>
      <w:pPr>
        <w:pStyle w:val="ListBullet"/>
        <w:ind w:left="360"/>
      </w:pPr>
      <w:r>
        <w:t>AND one of:</w:t>
      </w:r>
    </w:p>
    <w:p>
      <w:pPr>
        <w:pStyle w:val="ListBullet"/>
        <w:ind w:left="720"/>
      </w:pPr>
      <w:r>
        <w:t>self-read: subject.id == resource.id</w:t>
      </w:r>
    </w:p>
    <w:p>
      <w:pPr>
        <w:pStyle w:val="ListBullet"/>
        <w:ind w:left="720"/>
      </w:pPr>
      <w:r>
        <w:t>OR has permission: "users.read" in subject.permissions</w:t>
      </w:r>
    </w:p>
    <w:p/>
    <w:p>
      <w:pPr>
        <w:pStyle w:val="NoSpacing"/>
        <w:shd w:val="clear" w:color="auto" w:fill="F0F0F0"/>
      </w:pPr>
      <w:r>
        <w:rPr>
          <w:rFonts w:ascii="Courier New" w:hAnsi="Courier New"/>
          <w:color w:val="222222"/>
          <w:sz w:val="17"/>
        </w:rPr>
        <w:t>package authz.auth.read_user</w:t>
      </w:r>
    </w:p>
    <w:p>
      <w:pPr>
        <w:pStyle w:val="NoSpacing"/>
        <w:shd w:val="clear" w:color="auto" w:fill="F0F0F0"/>
      </w:pPr>
      <w:r>
        <w:rPr>
          <w:rFonts w:ascii="Courier New" w:hAnsi="Courier New"/>
          <w:color w:val="222222"/>
          <w:sz w:val="17"/>
        </w:rPr>
      </w:r>
    </w:p>
    <w:p>
      <w:pPr>
        <w:pStyle w:val="NoSpacing"/>
        <w:shd w:val="clear" w:color="auto" w:fill="F0F0F0"/>
      </w:pPr>
      <w:r>
        <w:rPr>
          <w:rFonts w:ascii="Courier New" w:hAnsi="Courier New"/>
          <w:color w:val="222222"/>
          <w:sz w:val="17"/>
        </w:rPr>
        <w:t>import future.keywords</w:t>
      </w:r>
    </w:p>
    <w:p>
      <w:pPr>
        <w:pStyle w:val="NoSpacing"/>
        <w:shd w:val="clear" w:color="auto" w:fill="F0F0F0"/>
      </w:pPr>
      <w:r>
        <w:rPr>
          <w:rFonts w:ascii="Courier New" w:hAnsi="Courier New"/>
          <w:color w:val="222222"/>
          <w:sz w:val="17"/>
        </w:rPr>
      </w:r>
    </w:p>
    <w:p>
      <w:pPr>
        <w:pStyle w:val="NoSpacing"/>
        <w:shd w:val="clear" w:color="auto" w:fill="F0F0F0"/>
      </w:pPr>
      <w:r>
        <w:rPr>
          <w:rFonts w:ascii="Courier New" w:hAnsi="Courier New"/>
          <w:color w:val="222222"/>
          <w:sz w:val="17"/>
        </w:rPr>
        <w:t>default allow := false</w:t>
      </w:r>
    </w:p>
    <w:p>
      <w:pPr>
        <w:pStyle w:val="NoSpacing"/>
        <w:shd w:val="clear" w:color="auto" w:fill="F0F0F0"/>
      </w:pPr>
      <w:r>
        <w:rPr>
          <w:rFonts w:ascii="Courier New" w:hAnsi="Courier New"/>
          <w:color w:val="222222"/>
          <w:sz w:val="17"/>
        </w:rPr>
      </w:r>
    </w:p>
    <w:p>
      <w:pPr>
        <w:pStyle w:val="NoSpacing"/>
        <w:shd w:val="clear" w:color="auto" w:fill="F0F0F0"/>
      </w:pPr>
      <w:r>
        <w:rPr>
          <w:rFonts w:ascii="Courier New" w:hAnsi="Courier New"/>
          <w:color w:val="222222"/>
          <w:sz w:val="17"/>
        </w:rPr>
        <w:t>allow if {</w:t>
      </w:r>
    </w:p>
    <w:p>
      <w:pPr>
        <w:pStyle w:val="NoSpacing"/>
        <w:shd w:val="clear" w:color="auto" w:fill="F0F0F0"/>
      </w:pPr>
      <w:r>
        <w:rPr>
          <w:rFonts w:ascii="Courier New" w:hAnsi="Courier New"/>
          <w:color w:val="222222"/>
          <w:sz w:val="17"/>
        </w:rPr>
        <w:t xml:space="preserve">    data.authz.common.tenant.same_tenant</w:t>
      </w:r>
    </w:p>
    <w:p>
      <w:pPr>
        <w:pStyle w:val="NoSpacing"/>
        <w:shd w:val="clear" w:color="auto" w:fill="F0F0F0"/>
      </w:pPr>
      <w:r>
        <w:rPr>
          <w:rFonts w:ascii="Courier New" w:hAnsi="Courier New"/>
          <w:color w:val="222222"/>
          <w:sz w:val="17"/>
        </w:rPr>
        <w:t xml:space="preserve">    input.subject.id == input.resource.id</w:t>
      </w:r>
    </w:p>
    <w:p>
      <w:pPr>
        <w:pStyle w:val="NoSpacing"/>
        <w:shd w:val="clear" w:color="auto" w:fill="F0F0F0"/>
      </w:pPr>
      <w:r>
        <w:rPr>
          <w:rFonts w:ascii="Courier New" w:hAnsi="Courier New"/>
          <w:color w:val="222222"/>
          <w:sz w:val="17"/>
        </w:rPr>
        <w:t>}</w:t>
      </w:r>
    </w:p>
    <w:p>
      <w:pPr>
        <w:pStyle w:val="NoSpacing"/>
        <w:shd w:val="clear" w:color="auto" w:fill="F0F0F0"/>
      </w:pPr>
      <w:r>
        <w:rPr>
          <w:rFonts w:ascii="Courier New" w:hAnsi="Courier New"/>
          <w:color w:val="222222"/>
          <w:sz w:val="17"/>
        </w:rPr>
      </w:r>
    </w:p>
    <w:p>
      <w:pPr>
        <w:pStyle w:val="NoSpacing"/>
        <w:shd w:val="clear" w:color="auto" w:fill="F0F0F0"/>
      </w:pPr>
      <w:r>
        <w:rPr>
          <w:rFonts w:ascii="Courier New" w:hAnsi="Courier New"/>
          <w:color w:val="222222"/>
          <w:sz w:val="17"/>
        </w:rPr>
        <w:t>allow if {</w:t>
      </w:r>
    </w:p>
    <w:p>
      <w:pPr>
        <w:pStyle w:val="NoSpacing"/>
        <w:shd w:val="clear" w:color="auto" w:fill="F0F0F0"/>
      </w:pPr>
      <w:r>
        <w:rPr>
          <w:rFonts w:ascii="Courier New" w:hAnsi="Courier New"/>
          <w:color w:val="222222"/>
          <w:sz w:val="17"/>
        </w:rPr>
        <w:t xml:space="preserve">    data.authz.common.tenant.same_tenant</w:t>
      </w:r>
    </w:p>
    <w:p>
      <w:pPr>
        <w:pStyle w:val="NoSpacing"/>
        <w:shd w:val="clear" w:color="auto" w:fill="F0F0F0"/>
      </w:pPr>
      <w:r>
        <w:rPr>
          <w:rFonts w:ascii="Courier New" w:hAnsi="Courier New"/>
          <w:color w:val="222222"/>
          <w:sz w:val="17"/>
        </w:rPr>
        <w:t xml:space="preserve">    "users.read" in input.subject.permissions</w:t>
      </w:r>
    </w:p>
    <w:p>
      <w:pPr>
        <w:pStyle w:val="NoSpacing"/>
        <w:shd w:val="clear" w:color="auto" w:fill="F0F0F0"/>
      </w:pPr>
      <w:r>
        <w:rPr>
          <w:rFonts w:ascii="Courier New" w:hAnsi="Courier New"/>
          <w:color w:val="222222"/>
          <w:sz w:val="17"/>
        </w:rPr>
        <w:t>}</w:t>
      </w:r>
    </w:p>
    <w:p/>
    <w:p>
      <w:pPr>
        <w:pStyle w:val="Heading1"/>
      </w:pPr>
      <w:r>
        <w:t>7. OPA Input Envelope</w:t>
      </w:r>
    </w:p>
    <w:p>
      <w:r>
        <w:rPr>
          <w:b w:val="0"/>
          <w:i w:val="0"/>
          <w:sz w:val="22"/>
        </w:rPr>
        <w:t>Every OPA evaluation receives a canonical JSON envelope. All fields use snake_case enforced via JsonPropertyName attributes on the .NET models.</w:t>
      </w:r>
    </w:p>
    <w:p/>
    <w:p>
      <w:pPr>
        <w:pStyle w:val="NoSpacing"/>
        <w:shd w:val="clear" w:color="auto" w:fill="F0F0F0"/>
      </w:pPr>
      <w:r>
        <w:rPr>
          <w:rFonts w:ascii="Courier New" w:hAnsi="Courier New"/>
          <w:color w:val="222222"/>
          <w:sz w:val="17"/>
        </w:rPr>
        <w:t>{</w:t>
      </w:r>
    </w:p>
    <w:p>
      <w:pPr>
        <w:pStyle w:val="NoSpacing"/>
        <w:shd w:val="clear" w:color="auto" w:fill="F0F0F0"/>
      </w:pPr>
      <w:r>
        <w:rPr>
          <w:rFonts w:ascii="Courier New" w:hAnsi="Courier New"/>
          <w:color w:val="222222"/>
          <w:sz w:val="17"/>
        </w:rPr>
        <w:t xml:space="preserve">  "subject": {</w:t>
      </w:r>
    </w:p>
    <w:p>
      <w:pPr>
        <w:pStyle w:val="NoSpacing"/>
        <w:shd w:val="clear" w:color="auto" w:fill="F0F0F0"/>
      </w:pPr>
      <w:r>
        <w:rPr>
          <w:rFonts w:ascii="Courier New" w:hAnsi="Courier New"/>
          <w:color w:val="222222"/>
          <w:sz w:val="17"/>
        </w:rPr>
        <w:t xml:space="preserve">    "id": "&lt;user-guid&gt;",</w:t>
      </w:r>
    </w:p>
    <w:p>
      <w:pPr>
        <w:pStyle w:val="NoSpacing"/>
        <w:shd w:val="clear" w:color="auto" w:fill="F0F0F0"/>
      </w:pPr>
      <w:r>
        <w:rPr>
          <w:rFonts w:ascii="Courier New" w:hAnsi="Courier New"/>
          <w:color w:val="222222"/>
          <w:sz w:val="17"/>
        </w:rPr>
        <w:t xml:space="preserve">    "tenant_id": "&lt;active-tenant-guid&gt;",</w:t>
      </w:r>
    </w:p>
    <w:p>
      <w:pPr>
        <w:pStyle w:val="NoSpacing"/>
        <w:shd w:val="clear" w:color="auto" w:fill="F0F0F0"/>
      </w:pPr>
      <w:r>
        <w:rPr>
          <w:rFonts w:ascii="Courier New" w:hAnsi="Courier New"/>
          <w:color w:val="222222"/>
          <w:sz w:val="17"/>
        </w:rPr>
        <w:t xml:space="preserve">    "departments": ["Engineering"],</w:t>
      </w:r>
    </w:p>
    <w:p>
      <w:pPr>
        <w:pStyle w:val="NoSpacing"/>
        <w:shd w:val="clear" w:color="auto" w:fill="F0F0F0"/>
      </w:pPr>
      <w:r>
        <w:rPr>
          <w:rFonts w:ascii="Courier New" w:hAnsi="Courier New"/>
          <w:color w:val="222222"/>
          <w:sz w:val="17"/>
        </w:rPr>
        <w:t xml:space="preserve">    "roles": ["Admin"],</w:t>
      </w:r>
    </w:p>
    <w:p>
      <w:pPr>
        <w:pStyle w:val="NoSpacing"/>
        <w:shd w:val="clear" w:color="auto" w:fill="F0F0F0"/>
      </w:pPr>
      <w:r>
        <w:rPr>
          <w:rFonts w:ascii="Courier New" w:hAnsi="Courier New"/>
          <w:color w:val="222222"/>
          <w:sz w:val="17"/>
        </w:rPr>
        <w:t xml:space="preserve">    "permissions": ["users.read", "roles.write"],</w:t>
      </w:r>
    </w:p>
    <w:p>
      <w:pPr>
        <w:pStyle w:val="NoSpacing"/>
        <w:shd w:val="clear" w:color="auto" w:fill="F0F0F0"/>
      </w:pPr>
      <w:r>
        <w:rPr>
          <w:rFonts w:ascii="Courier New" w:hAnsi="Courier New"/>
          <w:color w:val="222222"/>
          <w:sz w:val="17"/>
        </w:rPr>
        <w:t xml:space="preserve">    "mfa": true</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"resource": {</w:t>
      </w:r>
    </w:p>
    <w:p>
      <w:pPr>
        <w:pStyle w:val="NoSpacing"/>
        <w:shd w:val="clear" w:color="auto" w:fill="F0F0F0"/>
      </w:pPr>
      <w:r>
        <w:rPr>
          <w:rFonts w:ascii="Courier New" w:hAnsi="Courier New"/>
          <w:color w:val="222222"/>
          <w:sz w:val="17"/>
        </w:rPr>
        <w:t xml:space="preserve">    "type": "user",</w:t>
      </w:r>
    </w:p>
    <w:p>
      <w:pPr>
        <w:pStyle w:val="NoSpacing"/>
        <w:shd w:val="clear" w:color="auto" w:fill="F0F0F0"/>
      </w:pPr>
      <w:r>
        <w:rPr>
          <w:rFonts w:ascii="Courier New" w:hAnsi="Courier New"/>
          <w:color w:val="222222"/>
          <w:sz w:val="17"/>
        </w:rPr>
        <w:t xml:space="preserve">    "id": "&lt;target-user-guid&gt;",</w:t>
      </w:r>
    </w:p>
    <w:p>
      <w:pPr>
        <w:pStyle w:val="NoSpacing"/>
        <w:shd w:val="clear" w:color="auto" w:fill="F0F0F0"/>
      </w:pPr>
      <w:r>
        <w:rPr>
          <w:rFonts w:ascii="Courier New" w:hAnsi="Courier New"/>
          <w:color w:val="222222"/>
          <w:sz w:val="17"/>
        </w:rPr>
        <w:t xml:space="preserve">    "tenant_id": "&lt;active-tenant-guid&gt;"</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 xml:space="preserve">  "action": "read",</w:t>
      </w:r>
    </w:p>
    <w:p>
      <w:pPr>
        <w:pStyle w:val="NoSpacing"/>
        <w:shd w:val="clear" w:color="auto" w:fill="F0F0F0"/>
      </w:pPr>
      <w:r>
        <w:rPr>
          <w:rFonts w:ascii="Courier New" w:hAnsi="Courier New"/>
          <w:color w:val="222222"/>
          <w:sz w:val="17"/>
        </w:rPr>
        <w:t xml:space="preserve">  "environment": {</w:t>
      </w:r>
    </w:p>
    <w:p>
      <w:pPr>
        <w:pStyle w:val="NoSpacing"/>
        <w:shd w:val="clear" w:color="auto" w:fill="F0F0F0"/>
      </w:pPr>
      <w:r>
        <w:rPr>
          <w:rFonts w:ascii="Courier New" w:hAnsi="Courier New"/>
          <w:color w:val="222222"/>
          <w:sz w:val="17"/>
        </w:rPr>
        <w:t xml:space="preserve">    "ip": "10.0.1.42",</w:t>
      </w:r>
    </w:p>
    <w:p>
      <w:pPr>
        <w:pStyle w:val="NoSpacing"/>
        <w:shd w:val="clear" w:color="auto" w:fill="F0F0F0"/>
      </w:pPr>
      <w:r>
        <w:rPr>
          <w:rFonts w:ascii="Courier New" w:hAnsi="Courier New"/>
          <w:color w:val="222222"/>
          <w:sz w:val="17"/>
        </w:rPr>
        <w:t xml:space="preserve">    "network": "internal",</w:t>
      </w:r>
    </w:p>
    <w:p>
      <w:pPr>
        <w:pStyle w:val="NoSpacing"/>
        <w:shd w:val="clear" w:color="auto" w:fill="F0F0F0"/>
      </w:pPr>
      <w:r>
        <w:rPr>
          <w:rFonts w:ascii="Courier New" w:hAnsi="Courier New"/>
          <w:color w:val="222222"/>
          <w:sz w:val="17"/>
        </w:rPr>
        <w:t xml:space="preserve">    "time": "2026-03-24T09:15:00Z"</w:t>
      </w:r>
    </w:p>
    <w:p>
      <w:pPr>
        <w:pStyle w:val="NoSpacing"/>
        <w:shd w:val="clear" w:color="auto" w:fill="F0F0F0"/>
      </w:pPr>
      <w:r>
        <w:rPr>
          <w:rFonts w:ascii="Courier New" w:hAnsi="Courier New"/>
          <w:color w:val="222222"/>
          <w:sz w:val="17"/>
        </w:rPr>
        <w:t xml:space="preserve">  }</w:t>
      </w:r>
    </w:p>
    <w:p>
      <w:pPr>
        <w:pStyle w:val="NoSpacing"/>
        <w:shd w:val="clear" w:color="auto" w:fill="F0F0F0"/>
      </w:pPr>
      <w:r>
        <w:rPr>
          <w:rFonts w:ascii="Courier New" w:hAnsi="Courier New"/>
          <w:color w:val="222222"/>
          <w:sz w:val="17"/>
        </w:rPr>
        <w:t>}</w:t>
      </w:r>
    </w:p>
    <w:p/>
    <w:p>
      <w:pPr>
        <w:pStyle w:val="Heading1"/>
      </w:pPr>
      <w:r>
        <w:t>8. Configuration Reference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Key</w:t>
            </w:r>
          </w:p>
        </w:tc>
        <w:tc>
          <w:tcPr>
            <w:tcW w:type="dxa" w:w="2160"/>
          </w:tcPr>
          <w:p>
            <w:r>
              <w:rPr>
                <w:b/>
              </w:rPr>
              <w:t>Default</w:t>
            </w:r>
          </w:p>
        </w:tc>
        <w:tc>
          <w:tcPr>
            <w:tcW w:type="dxa" w:w="2160"/>
          </w:tcPr>
          <w:p>
            <w:r>
              <w:rPr>
                <w:b/>
              </w:rPr>
              <w:t>Env Var Override</w:t>
            </w:r>
          </w:p>
        </w:tc>
        <w:tc>
          <w:tcPr>
            <w:tcW w:type="dxa" w:w="2160"/>
          </w:tcPr>
          <w:p>
            <w:r>
              <w:rPr>
                <w:b/>
              </w:rPr>
              <w:t>Purpose</w:t>
            </w:r>
          </w:p>
        </w:tc>
      </w:tr>
      <w:tr>
        <w:tc>
          <w:tcPr>
            <w:tcW w:type="dxa" w:w="2160"/>
          </w:tcPr>
          <w:p>
            <w:r>
              <w:t>Opa:BaseUrl</w:t>
            </w:r>
          </w:p>
        </w:tc>
        <w:tc>
          <w:tcPr>
            <w:tcW w:type="dxa" w:w="2160"/>
          </w:tcPr>
          <w:p>
            <w:r>
              <w:t>http://localhost:8181</w:t>
            </w:r>
          </w:p>
        </w:tc>
        <w:tc>
          <w:tcPr>
            <w:tcW w:type="dxa" w:w="2160"/>
          </w:tcPr>
          <w:p>
            <w:r>
              <w:t>OPA_BASE_URL</w:t>
            </w:r>
          </w:p>
        </w:tc>
        <w:tc>
          <w:tcPr>
            <w:tcW w:type="dxa" w:w="2160"/>
          </w:tcPr>
          <w:p>
            <w:r>
              <w:t>OPA container address</w:t>
            </w:r>
          </w:p>
        </w:tc>
      </w:tr>
      <w:tr>
        <w:tc>
          <w:tcPr>
            <w:tcW w:type="dxa" w:w="2160"/>
          </w:tcPr>
          <w:p>
            <w:r>
              <w:t>Opa:TimeoutSeconds</w:t>
            </w:r>
          </w:p>
        </w:tc>
        <w:tc>
          <w:tcPr>
            <w:tcW w:type="dxa" w:w="2160"/>
          </w:tcPr>
          <w:p>
            <w:r>
              <w:t>5</w:t>
            </w:r>
          </w:p>
        </w:tc>
        <w:tc>
          <w:tcPr>
            <w:tcW w:type="dxa" w:w="2160"/>
          </w:tcPr>
          <w:p>
            <w:r>
              <w:t>OPA_TIMEOUT_SECONDS</w:t>
            </w:r>
          </w:p>
        </w:tc>
        <w:tc>
          <w:tcPr>
            <w:tcW w:type="dxa" w:w="2160"/>
          </w:tcPr>
          <w:p>
            <w:r>
              <w:t>HTTP request timeout (seconds)</w:t>
            </w:r>
          </w:p>
        </w:tc>
      </w:tr>
      <w:tr>
        <w:tc>
          <w:tcPr>
            <w:tcW w:type="dxa" w:w="2160"/>
          </w:tcPr>
          <w:p>
            <w:r>
              <w:t>Opa:Enabled</w:t>
            </w:r>
          </w:p>
        </w:tc>
        <w:tc>
          <w:tcPr>
            <w:tcW w:type="dxa" w:w="2160"/>
          </w:tcPr>
          <w:p>
            <w:r>
              <w:t>true</w:t>
            </w:r>
          </w:p>
        </w:tc>
        <w:tc>
          <w:tcPr>
            <w:tcW w:type="dxa" w:w="2160"/>
          </w:tcPr>
          <w:p>
            <w:r>
              <w:t>OPA_ENABLED</w:t>
            </w:r>
          </w:p>
        </w:tc>
        <w:tc>
          <w:tcPr>
            <w:tcW w:type="dxa" w:w="2160"/>
          </w:tcPr>
          <w:p>
            <w:r>
              <w:t>false = use NullOpaPolicyClient (dev only)</w:t>
            </w:r>
          </w:p>
        </w:tc>
      </w:tr>
      <w:tr>
        <w:tc>
          <w:tcPr>
            <w:tcW w:type="dxa" w:w="2160"/>
          </w:tcPr>
          <w:p>
            <w:r>
              <w:t>Opa:FailClosed</w:t>
            </w:r>
          </w:p>
        </w:tc>
        <w:tc>
          <w:tcPr>
            <w:tcW w:type="dxa" w:w="2160"/>
          </w:tcPr>
          <w:p>
            <w:r>
              <w:t>true</w:t>
            </w:r>
          </w:p>
        </w:tc>
        <w:tc>
          <w:tcPr>
            <w:tcW w:type="dxa" w:w="2160"/>
          </w:tcPr>
          <w:p>
            <w:r>
              <w:t>OPA_FAIL_CLOSED</w:t>
            </w:r>
          </w:p>
        </w:tc>
        <w:tc>
          <w:tcPr>
            <w:tcW w:type="dxa" w:w="2160"/>
          </w:tcPr>
          <w:p>
            <w:r>
              <w:t>false = allow on OPA error (dev only, never production)</w:t>
            </w:r>
          </w:p>
        </w:tc>
      </w:tr>
      <w:tr>
        <w:tc>
          <w:tcPr>
            <w:tcW w:type="dxa" w:w="2160"/>
          </w:tcPr>
          <w:p>
            <w:r>
              <w:t>Opa:BaseUrl (Docker)</w:t>
            </w:r>
          </w:p>
        </w:tc>
        <w:tc>
          <w:tcPr>
            <w:tcW w:type="dxa" w:w="2160"/>
          </w:tcPr>
          <w:p>
            <w:r>
              <w:t>http://opa:8181</w:t>
            </w:r>
          </w:p>
        </w:tc>
        <w:tc>
          <w:tcPr>
            <w:tcW w:type="dxa" w:w="2160"/>
          </w:tcPr>
          <w:p>
            <w:r>
              <w:t>Set in docker-compose</w:t>
            </w:r>
          </w:p>
        </w:tc>
        <w:tc>
          <w:tcPr>
            <w:tcW w:type="dxa" w:w="2160"/>
          </w:tcPr>
          <w:p>
            <w:r>
              <w:t>Container-to-container DNS name</w:t>
            </w:r>
          </w:p>
        </w:tc>
      </w:tr>
    </w:tbl>
    <w:p/>
    <w:p>
      <w:r>
        <w:rPr>
          <w:b w:val="0"/>
          <w:i w:val="0"/>
          <w:sz w:val="22"/>
        </w:rPr>
        <w:t>Opa:Enabled = false and Opa:FailClosed = false are only valid in appsettings.Development.json for local development without a running OPA container. Both flags must remain at their production defaults (true) in all deployed environments.</w:t>
      </w:r>
    </w:p>
    <w:p>
      <w:pPr>
        <w:pStyle w:val="Heading1"/>
      </w:pPr>
      <w:r>
        <w:t>9. Dependency Graph</w:t>
      </w:r>
    </w:p>
    <w:p>
      <w:pPr>
        <w:pStyle w:val="NoSpacing"/>
        <w:shd w:val="clear" w:color="auto" w:fill="F0F0F0"/>
      </w:pPr>
      <w:r>
        <w:rPr>
          <w:rFonts w:ascii="Courier New" w:hAnsi="Courier New"/>
          <w:color w:val="222222"/>
          <w:sz w:val="17"/>
        </w:rPr>
        <w:t>Domain           &lt;- no OPA / security dependencies</w:t>
      </w:r>
    </w:p>
    <w:p>
      <w:pPr>
        <w:pStyle w:val="NoSpacing"/>
        <w:shd w:val="clear" w:color="auto" w:fill="F0F0F0"/>
      </w:pPr>
      <w:r>
        <w:rPr>
          <w:rFonts w:ascii="Courier New" w:hAnsi="Courier New"/>
          <w:color w:val="222222"/>
          <w:sz w:val="17"/>
        </w:rPr>
        <w:t>Application      &lt;- ICurrentUser, IPermissionChecker, IResourceAuthorizationService (abstractions only)</w:t>
      </w:r>
    </w:p>
    <w:p>
      <w:pPr>
        <w:pStyle w:val="NoSpacing"/>
        <w:shd w:val="clear" w:color="auto" w:fill="F0F0F0"/>
      </w:pPr>
      <w:r>
        <w:rPr>
          <w:rFonts w:ascii="Courier New" w:hAnsi="Courier New"/>
          <w:color w:val="222222"/>
          <w:sz w:val="17"/>
        </w:rPr>
        <w:t>Infrastructure   &lt;- OpaClient (HttpClient), CurrentUser, PermissionChecker</w:t>
      </w:r>
    </w:p>
    <w:p>
      <w:pPr>
        <w:pStyle w:val="NoSpacing"/>
        <w:shd w:val="clear" w:color="auto" w:fill="F0F0F0"/>
      </w:pPr>
      <w:r>
        <w:rPr>
          <w:rFonts w:ascii="Courier New" w:hAnsi="Courier New"/>
          <w:color w:val="222222"/>
          <w:sz w:val="17"/>
        </w:rPr>
        <w:t>BuildingBlocks   &lt;- IFX.BuildingBlocks.Security (no module dependencies)</w:t>
      </w:r>
    </w:p>
    <w:p>
      <w:pPr>
        <w:pStyle w:val="NoSpacing"/>
        <w:shd w:val="clear" w:color="auto" w:fill="F0F0F0"/>
      </w:pPr>
      <w:r>
        <w:rPr>
          <w:rFonts w:ascii="Courier New" w:hAnsi="Courier New"/>
          <w:color w:val="222222"/>
          <w:sz w:val="17"/>
        </w:rPr>
        <w:t>ApiHost          &lt;- wires all; registers ExceptionHandlingMiddleware; binds OpaOptions</w:t>
      </w:r>
    </w:p>
    <w:p/>
    <w:p>
      <w:r>
        <w:rPr>
          <w:b w:val="0"/>
          <w:i w:val="0"/>
          <w:sz w:val="22"/>
        </w:rPr>
        <w:t>The Application layer depends only on abstractions defined in IFX.BuildingBlocks.Security. It has no knowledge of OPA, HttpClient, or any concrete security implementation. Policies and implementations can therefore change without modifying business logic.</w:t>
      </w:r>
    </w:p>
    <w:p>
      <w:pPr>
        <w:pStyle w:val="Heading1"/>
      </w:pPr>
      <w:r>
        <w:t>10. Security Considerations</w:t>
      </w:r>
    </w:p>
    <w:tbl>
      <w:tblPr>
        <w:tblStyle w:val="TableGrid"/>
        <w:tblW w:type="auto" w:w="0"/>
        <w:tblLook w:firstColumn="1" w:firstRow="1" w:lastColumn="0" w:lastRow="0" w:noHBand="0" w:noVBand="1" w:val="04A0"/>
      </w:tblPr>
      <w:tblGrid>
        <w:gridCol w:w="4320"/>
        <w:gridCol w:w="4320"/>
      </w:tblGrid>
      <w:tr>
        <w:tc>
          <w:tcPr>
            <w:tcW w:type="dxa" w:w="4320"/>
          </w:tcPr>
          <w:p>
            <w:r>
              <w:rPr>
                <w:b/>
              </w:rPr>
              <w:t>Threat / Risk</w:t>
            </w:r>
          </w:p>
        </w:tc>
        <w:tc>
          <w:tcPr>
            <w:tcW w:type="dxa" w:w="4320"/>
          </w:tcPr>
          <w:p>
            <w:r>
              <w:rPr>
                <w:b/>
              </w:rPr>
              <w:t>Mitigation</w:t>
            </w:r>
          </w:p>
        </w:tc>
      </w:tr>
      <w:tr>
        <w:tc>
          <w:tcPr>
            <w:tcW w:type="dxa" w:w="4320"/>
          </w:tcPr>
          <w:p>
            <w:r>
              <w:t>Tenant spoofing via X-Tenant-Id</w:t>
            </w:r>
          </w:p>
        </w:tc>
        <w:tc>
          <w:tcPr>
            <w:tcW w:type="dxa" w:w="4320"/>
          </w:tcPr>
          <w:p>
            <w:r>
              <w:t>Header value is validated against tenant claims in the JWT before being accepted. Claims are populated server-side at login from the user's actual DB memberships.</w:t>
            </w:r>
          </w:p>
        </w:tc>
      </w:tr>
      <w:tr>
        <w:tc>
          <w:tcPr>
            <w:tcW w:type="dxa" w:w="4320"/>
          </w:tcPr>
          <w:p>
            <w:r>
              <w:t>OPA unavailability / network failure</w:t>
            </w:r>
          </w:p>
        </w:tc>
        <w:tc>
          <w:tcPr>
            <w:tcW w:type="dxa" w:w="4320"/>
          </w:tcPr>
          <w:p>
            <w:r>
              <w:t>FailClosed=true ensures OPA downtime results in HTTP 403, not an accidental allow. NullOpaPolicyClient is only registered when Opa:Enabled=false — never in production.</w:t>
            </w:r>
          </w:p>
        </w:tc>
      </w:tr>
      <w:tr>
        <w:tc>
          <w:tcPr>
            <w:tcW w:type="dxa" w:w="4320"/>
          </w:tcPr>
          <w:p>
            <w:r>
              <w:t>Authorization on non-existent resources (phantom auth)</w:t>
            </w:r>
          </w:p>
        </w:tc>
        <w:tc>
          <w:tcPr>
            <w:tcW w:type="dxa" w:w="4320"/>
          </w:tcPr>
          <w:p>
            <w:r>
              <w:t>Post-load pattern ensures authorization is performed on a real, loaded resource. A caller cannot gain access by referencing a non-existent resource ID.</w:t>
            </w:r>
          </w:p>
        </w:tc>
      </w:tr>
      <w:tr>
        <w:tc>
          <w:tcPr>
            <w:tcW w:type="dxa" w:w="4320"/>
          </w:tcPr>
          <w:p>
            <w:r>
              <w:t>Policy / application code drift</w:t>
            </w:r>
          </w:p>
        </w:tc>
        <w:tc>
          <w:tcPr>
            <w:tcW w:type="dxa" w:w="4320"/>
          </w:tcPr>
          <w:p>
            <w:r>
              <w:t>Rego policies are co-versioned with application code in the same repository. Policy unit tests (opa test policies/ -v) run in CI.</w:t>
            </w:r>
          </w:p>
        </w:tc>
      </w:tr>
      <w:tr>
        <w:tc>
          <w:tcPr>
            <w:tcW w:type="dxa" w:w="4320"/>
          </w:tcPr>
          <w:p>
            <w:r>
              <w:t>Cross-tenant data leak</w:t>
            </w:r>
          </w:p>
        </w:tc>
        <w:tc>
          <w:tcPr>
            <w:tcW w:type="dxa" w:w="4320"/>
          </w:tcPr>
          <w:p>
            <w:r>
              <w:t>OPA same_tenant rule provides a second, independent tenant boundary check beyond the DB-level tenant filter in query handlers (defense-in-depth).</w:t>
            </w:r>
          </w:p>
        </w:tc>
      </w:tr>
      <w:tr>
        <w:tc>
          <w:tcPr>
            <w:tcW w:type="dxa" w:w="4320"/>
          </w:tcPr>
          <w:p>
            <w:r>
              <w:t>Non-primary tenant ABAC bypass</w:t>
            </w:r>
          </w:p>
        </w:tc>
        <w:tc>
          <w:tcPr>
            <w:tcW w:type="dxa" w:w="4320"/>
          </w:tcPr>
          <w:p>
            <w:r>
              <w:t>resource.tenant_id uses ICurrentUser.TenantId (active context, already validated) rather than entity.PrimaryTenantId, so same_tenant passes correctly for multi-tenant users.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