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864"/>
          <w:sz w:val="56"/>
        </w:rPr>
        <w:t>IFX Fund Registry</w:t>
      </w:r>
    </w:p>
    <w:p>
      <w:pPr>
        <w:jc w:val="center"/>
      </w:pPr>
      <w:r>
        <w:rPr>
          <w:color w:val="4682B4"/>
          <w:sz w:val="36"/>
        </w:rPr>
        <w:t>Technical Design Document</w:t>
      </w:r>
    </w:p>
    <w:p>
      <w:pPr>
        <w:jc w:val="center"/>
      </w:pPr>
      <w:r>
        <w:rPr>
          <w:i/>
          <w:sz w:val="26"/>
        </w:rPr>
        <w:t>CRM  ·  Registry  ·  Holdings  ·  Transaction</w:t>
      </w:r>
    </w:p>
    <w:p>
      <w:pPr>
        <w:jc w:val="center"/>
      </w:pPr>
      <w:r>
        <w:rPr>
          <w:color w:val="646464"/>
          <w:sz w:val="22"/>
        </w:rPr>
        <w:t>Version 1.0  |  April 2026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Table of Contents</w:t>
      </w:r>
    </w:p>
    <w:p>
      <w:pPr>
        <w:spacing w:after="20"/>
      </w:pPr>
      <w:r>
        <w:rPr>
          <w:sz w:val="21"/>
        </w:rPr>
        <w:t xml:space="preserve">1.  </w:t>
      </w:r>
      <w:r>
        <w:rPr>
          <w:sz w:val="21"/>
        </w:rPr>
        <w:t>Overview</w:t>
      </w:r>
    </w:p>
    <w:p>
      <w:pPr>
        <w:spacing w:after="20"/>
      </w:pPr>
      <w:r>
        <w:rPr>
          <w:sz w:val="21"/>
        </w:rPr>
        <w:t xml:space="preserve">2.  </w:t>
      </w:r>
      <w:r>
        <w:rPr>
          <w:sz w:val="21"/>
        </w:rPr>
        <w:t>Architecture &amp; Module Boundaries</w:t>
      </w:r>
    </w:p>
    <w:p>
      <w:pPr>
        <w:spacing w:after="20"/>
      </w:pPr>
      <w:r>
        <w:rPr>
          <w:sz w:val="21"/>
        </w:rPr>
        <w:t xml:space="preserve">3.  </w:t>
      </w:r>
      <w:r>
        <w:rPr>
          <w:sz w:val="21"/>
        </w:rPr>
        <w:t>CRM Module</w:t>
      </w:r>
    </w:p>
    <w:p>
      <w:pPr>
        <w:spacing w:after="20"/>
        <w:ind w:left="576"/>
      </w:pPr>
      <w:r>
        <w:rPr>
          <w:sz w:val="21"/>
        </w:rPr>
        <w:t xml:space="preserve">   3.1  </w:t>
      </w:r>
      <w:r>
        <w:rPr>
          <w:color w:val="466496"/>
          <w:sz w:val="21"/>
        </w:rPr>
        <w:t>Party</w:t>
      </w:r>
    </w:p>
    <w:p>
      <w:pPr>
        <w:spacing w:after="20"/>
        <w:ind w:left="576"/>
      </w:pPr>
      <w:r>
        <w:rPr>
          <w:sz w:val="21"/>
        </w:rPr>
        <w:t xml:space="preserve">   3.2  </w:t>
      </w:r>
      <w:r>
        <w:rPr>
          <w:color w:val="466496"/>
          <w:sz w:val="21"/>
        </w:rPr>
        <w:t>Investor</w:t>
      </w:r>
    </w:p>
    <w:p>
      <w:pPr>
        <w:spacing w:after="20"/>
        <w:ind w:left="576"/>
      </w:pPr>
      <w:r>
        <w:rPr>
          <w:sz w:val="21"/>
        </w:rPr>
        <w:t xml:space="preserve">   3.3  </w:t>
      </w:r>
      <w:r>
        <w:rPr>
          <w:color w:val="466496"/>
          <w:sz w:val="21"/>
        </w:rPr>
        <w:t>InvestmentAccount</w:t>
      </w:r>
    </w:p>
    <w:p>
      <w:pPr>
        <w:spacing w:after="20"/>
        <w:ind w:left="576"/>
      </w:pPr>
      <w:r>
        <w:rPr>
          <w:sz w:val="21"/>
        </w:rPr>
        <w:t xml:space="preserve">   3.4  </w:t>
      </w:r>
      <w:r>
        <w:rPr>
          <w:color w:val="466496"/>
          <w:sz w:val="21"/>
        </w:rPr>
        <w:t>PartyRelationship</w:t>
      </w:r>
    </w:p>
    <w:p>
      <w:pPr>
        <w:spacing w:after="20"/>
        <w:ind w:left="576"/>
      </w:pPr>
      <w:r>
        <w:rPr>
          <w:sz w:val="21"/>
        </w:rPr>
        <w:t xml:space="preserve">   3.5  </w:t>
      </w:r>
      <w:r>
        <w:rPr>
          <w:color w:val="466496"/>
          <w:sz w:val="21"/>
        </w:rPr>
        <w:t>CRM CQRS Operations</w:t>
      </w:r>
    </w:p>
    <w:p>
      <w:pPr>
        <w:spacing w:after="20"/>
        <w:ind w:left="576"/>
      </w:pPr>
      <w:r>
        <w:rPr>
          <w:sz w:val="21"/>
        </w:rPr>
        <w:t xml:space="preserve">   3.6  </w:t>
      </w:r>
      <w:r>
        <w:rPr>
          <w:color w:val="466496"/>
          <w:sz w:val="21"/>
        </w:rPr>
        <w:t>CRM Integration Events</w:t>
      </w:r>
    </w:p>
    <w:p>
      <w:pPr>
        <w:spacing w:after="20"/>
        <w:ind w:left="576"/>
      </w:pPr>
      <w:r>
        <w:rPr>
          <w:sz w:val="21"/>
        </w:rPr>
        <w:t xml:space="preserve">   3.7  </w:t>
      </w:r>
      <w:r>
        <w:rPr>
          <w:color w:val="466496"/>
          <w:sz w:val="21"/>
        </w:rPr>
        <w:t>CRM Database Schema</w:t>
      </w:r>
    </w:p>
    <w:p>
      <w:pPr>
        <w:spacing w:after="20"/>
      </w:pPr>
      <w:r>
        <w:rPr>
          <w:sz w:val="21"/>
        </w:rPr>
        <w:t xml:space="preserve">4.  </w:t>
      </w:r>
      <w:r>
        <w:rPr>
          <w:sz w:val="21"/>
        </w:rPr>
        <w:t>Registry Module</w:t>
      </w:r>
    </w:p>
    <w:p>
      <w:pPr>
        <w:spacing w:after="20"/>
        <w:ind w:left="576"/>
      </w:pPr>
      <w:r>
        <w:rPr>
          <w:sz w:val="21"/>
        </w:rPr>
        <w:t xml:space="preserve">   4.1  </w:t>
      </w:r>
      <w:r>
        <w:rPr>
          <w:color w:val="466496"/>
          <w:sz w:val="21"/>
        </w:rPr>
        <w:t>Product (Scheme)</w:t>
      </w:r>
    </w:p>
    <w:p>
      <w:pPr>
        <w:spacing w:after="20"/>
        <w:ind w:left="576"/>
      </w:pPr>
      <w:r>
        <w:rPr>
          <w:sz w:val="21"/>
        </w:rPr>
        <w:t xml:space="preserve">   4.2  </w:t>
      </w:r>
      <w:r>
        <w:rPr>
          <w:color w:val="466496"/>
          <w:sz w:val="21"/>
        </w:rPr>
        <w:t>Fund (Sub-fund)</w:t>
      </w:r>
    </w:p>
    <w:p>
      <w:pPr>
        <w:spacing w:after="20"/>
        <w:ind w:left="576"/>
      </w:pPr>
      <w:r>
        <w:rPr>
          <w:sz w:val="21"/>
        </w:rPr>
        <w:t xml:space="preserve">   4.3  </w:t>
      </w:r>
      <w:r>
        <w:rPr>
          <w:color w:val="466496"/>
          <w:sz w:val="21"/>
        </w:rPr>
        <w:t>FundClass (Share Class)</w:t>
      </w:r>
    </w:p>
    <w:p>
      <w:pPr>
        <w:spacing w:after="20"/>
        <w:ind w:left="576"/>
      </w:pPr>
      <w:r>
        <w:rPr>
          <w:sz w:val="21"/>
        </w:rPr>
        <w:t xml:space="preserve">   4.4  </w:t>
      </w:r>
      <w:r>
        <w:rPr>
          <w:color w:val="466496"/>
          <w:sz w:val="21"/>
        </w:rPr>
        <w:t>Registry CQRS Operations</w:t>
      </w:r>
    </w:p>
    <w:p>
      <w:pPr>
        <w:spacing w:after="20"/>
        <w:ind w:left="576"/>
      </w:pPr>
      <w:r>
        <w:rPr>
          <w:sz w:val="21"/>
        </w:rPr>
        <w:t xml:space="preserve">   4.5  </w:t>
      </w:r>
      <w:r>
        <w:rPr>
          <w:color w:val="466496"/>
          <w:sz w:val="21"/>
        </w:rPr>
        <w:t>Registry Integration Events</w:t>
      </w:r>
    </w:p>
    <w:p>
      <w:pPr>
        <w:spacing w:after="20"/>
        <w:ind w:left="576"/>
      </w:pPr>
      <w:r>
        <w:rPr>
          <w:sz w:val="21"/>
        </w:rPr>
        <w:t xml:space="preserve">   4.6  </w:t>
      </w:r>
      <w:r>
        <w:rPr>
          <w:color w:val="466496"/>
          <w:sz w:val="21"/>
        </w:rPr>
        <w:t>Registry Database Schema</w:t>
      </w:r>
    </w:p>
    <w:p>
      <w:pPr>
        <w:spacing w:after="20"/>
      </w:pPr>
      <w:r>
        <w:rPr>
          <w:sz w:val="21"/>
        </w:rPr>
        <w:t xml:space="preserve">5.  </w:t>
      </w:r>
      <w:r>
        <w:rPr>
          <w:sz w:val="21"/>
        </w:rPr>
        <w:t>Holdings Module</w:t>
      </w:r>
    </w:p>
    <w:p>
      <w:pPr>
        <w:spacing w:after="20"/>
      </w:pPr>
      <w:r>
        <w:rPr>
          <w:sz w:val="21"/>
        </w:rPr>
        <w:t xml:space="preserve">6.  </w:t>
      </w:r>
      <w:r>
        <w:rPr>
          <w:sz w:val="21"/>
        </w:rPr>
        <w:t>Transaction Module</w:t>
      </w:r>
    </w:p>
    <w:p>
      <w:pPr>
        <w:spacing w:after="20"/>
      </w:pPr>
      <w:r>
        <w:rPr>
          <w:sz w:val="21"/>
        </w:rPr>
        <w:t xml:space="preserve">7.  </w:t>
      </w:r>
      <w:r>
        <w:rPr>
          <w:sz w:val="21"/>
        </w:rPr>
        <w:t>Cross-Module Integration</w:t>
      </w:r>
    </w:p>
    <w:p>
      <w:pPr>
        <w:spacing w:after="20"/>
      </w:pPr>
      <w:r>
        <w:rPr>
          <w:sz w:val="21"/>
        </w:rPr>
        <w:t xml:space="preserve">8.  </w:t>
      </w:r>
      <w:r>
        <w:rPr>
          <w:sz w:val="21"/>
        </w:rPr>
        <w:t>Mapping to Taurus Schema</w:t>
      </w:r>
    </w:p>
    <w:p>
      <w:pPr>
        <w:spacing w:after="20"/>
      </w:pPr>
      <w:r>
        <w:rPr>
          <w:sz w:val="21"/>
        </w:rPr>
        <w:t xml:space="preserve">9.  </w:t>
      </w:r>
      <w:r>
        <w:rPr>
          <w:sz w:val="21"/>
        </w:rPr>
        <w:t>Appendix — Enum Reference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1.  Overview</w:t>
      </w:r>
    </w:p>
    <w:p>
      <w:pPr>
        <w:spacing w:after="80"/>
      </w:pPr>
      <w:r>
        <w:rPr>
          <w:b w:val="0"/>
          <w:i w:val="0"/>
          <w:sz w:val="21"/>
        </w:rPr>
        <w:t>The IFX Fund Registry is a .NET 8 modular monolith covering the full lifecycle of collective investment schemes.  It is built on Clean Architecture (Domain → Application → Infrastructure → Presentation), CQRS via MediatR, and an in-process integration event bus.</w:t>
      </w:r>
    </w:p>
    <w:p>
      <w:pPr>
        <w:spacing w:after="80"/>
      </w:pPr>
      <w:r>
        <w:rPr>
          <w:b w:val="0"/>
          <w:i w:val="0"/>
          <w:sz w:val="21"/>
        </w:rPr>
        <w:t>The system comprises four bounded-context modules:</w:t>
      </w:r>
    </w:p>
    <w:p>
      <w:pPr>
        <w:spacing w:after="60"/>
        <w:ind w:left="432"/>
      </w:pPr>
      <w:r>
        <w:rPr>
          <w:b/>
          <w:sz w:val="21"/>
        </w:rPr>
        <w:t xml:space="preserve">CRM: </w:t>
      </w:r>
      <w:r>
        <w:rPr>
          <w:sz w:val="21"/>
        </w:rPr>
        <w:t>Manages legal entities (Party), investor profiles (Investor), and the InvestmentAccount unit of investment activity.</w:t>
      </w:r>
    </w:p>
    <w:p>
      <w:pPr>
        <w:spacing w:after="60"/>
        <w:ind w:left="432"/>
      </w:pPr>
      <w:r>
        <w:rPr>
          <w:b/>
          <w:sz w:val="21"/>
        </w:rPr>
        <w:t xml:space="preserve">Registry: </w:t>
      </w:r>
      <w:r>
        <w:rPr>
          <w:sz w:val="21"/>
        </w:rPr>
        <w:t>Maintains the three-tier Product → Fund → FundClass hierarchy including all regulatory identifiers.</w:t>
      </w:r>
    </w:p>
    <w:p>
      <w:pPr>
        <w:spacing w:after="60"/>
        <w:ind w:left="432"/>
      </w:pPr>
      <w:r>
        <w:rPr>
          <w:b/>
          <w:sz w:val="21"/>
        </w:rPr>
        <w:t xml:space="preserve">Holdings: </w:t>
      </w:r>
      <w:r>
        <w:rPr>
          <w:sz w:val="21"/>
        </w:rPr>
        <w:t>Maintains the authoritative unit ledger per (InvestmentAccount, FundClass). Read-only via HTTP; mutated exclusively by integration events.</w:t>
      </w:r>
    </w:p>
    <w:p>
      <w:pPr>
        <w:spacing w:after="60"/>
        <w:ind w:left="432"/>
      </w:pPr>
      <w:r>
        <w:rPr>
          <w:b/>
          <w:sz w:val="21"/>
        </w:rPr>
        <w:t xml:space="preserve">Transaction: </w:t>
      </w:r>
      <w:r>
        <w:rPr>
          <w:sz w:val="21"/>
        </w:rPr>
        <w:t>Processes subscription, redemption, transfer, and switch instructions. Drives Holdings via TransactionProcessedEvent.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2.  Architecture &amp; Module Boundaries</w:t>
      </w:r>
    </w:p>
    <w:p>
      <w:pPr>
        <w:spacing w:after="80"/>
      </w:pPr>
      <w:r>
        <w:rPr>
          <w:b w:val="0"/>
          <w:i w:val="0"/>
          <w:sz w:val="21"/>
        </w:rPr>
        <w:t>Each module follows the 5-layer Clean Architecture pattern. No module references another module's Domain, Application, Infrastructure, or Presentation layers. Cross-module communication uses integration events and thin reader interfaces.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Project Suffix</w:t>
            </w:r>
          </w:p>
        </w:tc>
        <w:tc>
          <w:tcPr>
            <w:tcW w:type="dxa" w:w="51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Domain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.Domain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Entities, value objects, enums, repository interfaces</w:t>
            </w:r>
          </w:p>
        </w:tc>
      </w:tr>
      <w:tr>
        <w:tc>
          <w:tcPr>
            <w:tcW w:type="dxa" w:w="2016"/>
            <w:shd w:val="clear" w:color="auto" w:fill="E8EEF8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.Application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CQRS commands/queries, handlers, validators, AutoMapper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Infrastructure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.Infrastructure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EF Core DbContext, migrations, EF repositories</w:t>
            </w:r>
          </w:p>
        </w:tc>
      </w:tr>
      <w:tr>
        <w:tc>
          <w:tcPr>
            <w:tcW w:type="dxa" w:w="2016"/>
            <w:shd w:val="clear" w:color="auto" w:fill="E8EEF8"/>
          </w:tcPr>
          <w:p>
            <w:r>
              <w:rPr>
                <w:sz w:val="19"/>
              </w:rPr>
              <w:t>Presentation</w:t>
            </w:r>
          </w:p>
        </w:tc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.Presentation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Minimal API endpoints, request/response models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Composition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.Composition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Module installer, DI wiring, event handler registration</w:t>
            </w:r>
          </w:p>
        </w:tc>
      </w:tr>
      <w:tr>
        <w:tc>
          <w:tcPr>
            <w:tcW w:type="dxa" w:w="2016"/>
            <w:shd w:val="clear" w:color="auto" w:fill="E8EEF8"/>
          </w:tcPr>
          <w:p>
            <w:r>
              <w:rPr>
                <w:sz w:val="19"/>
              </w:rPr>
              <w:t>Abstractions</w:t>
            </w:r>
          </w:p>
        </w:tc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.Abstractions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Integration event contracts, reader interfaces</w:t>
            </w:r>
          </w:p>
        </w:tc>
      </w:tr>
    </w:tbl>
    <w:p/>
    <w:p>
      <w:pPr>
        <w:spacing w:after="80"/>
      </w:pPr>
      <w:r>
        <w:rPr>
          <w:b/>
          <w:i w:val="0"/>
          <w:sz w:val="21"/>
        </w:rPr>
        <w:t>Cross-module integrity rules:</w:t>
      </w:r>
    </w:p>
    <w:p>
      <w:pPr>
        <w:pStyle w:val="ListBullet"/>
        <w:spacing w:after="40"/>
        <w:ind w:left="360"/>
      </w:pPr>
      <w:r>
        <w:rPr>
          <w:sz w:val="21"/>
        </w:rPr>
        <w:t>No FK constraints across module schemas</w:t>
      </w:r>
    </w:p>
    <w:p>
      <w:pPr>
        <w:pStyle w:val="ListBullet"/>
        <w:spacing w:after="40"/>
        <w:ind w:left="360"/>
      </w:pPr>
      <w:r>
        <w:rPr>
          <w:sz w:val="21"/>
        </w:rPr>
        <w:t>Application layer uses ICrmReader / IRegistryReader for pre-condition checks only</w:t>
      </w:r>
    </w:p>
    <w:p>
      <w:pPr>
        <w:pStyle w:val="ListBullet"/>
        <w:spacing w:after="40"/>
        <w:ind w:left="360"/>
      </w:pPr>
      <w:r>
        <w:rPr>
          <w:sz w:val="21"/>
        </w:rPr>
        <w:t>Holdings schema receives writes only via integration events — never direct calls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3.  CRM Module</w:t>
      </w:r>
    </w:p>
    <w:p>
      <w:pPr>
        <w:spacing w:after="80"/>
      </w:pPr>
      <w:r>
        <w:rPr>
          <w:b w:val="0"/>
          <w:i w:val="0"/>
          <w:sz w:val="21"/>
        </w:rPr>
        <w:t>The CRM module manages the legal entity graph underpinning all investment activity. It is the source of truth for investors, their compliance status, and the InvestmentAccounts that hold their positions.</w:t>
      </w:r>
    </w:p>
    <w:p>
      <w:pPr>
        <w:spacing w:before="160" w:after="80"/>
      </w:pPr>
      <w:r>
        <w:rPr>
          <w:b/>
          <w:color w:val="1F3864"/>
          <w:sz w:val="32"/>
        </w:rPr>
        <w:t>3.1  Party</w:t>
      </w:r>
    </w:p>
    <w:p>
      <w:pPr>
        <w:spacing w:after="80"/>
      </w:pPr>
      <w:r>
        <w:rPr>
          <w:b w:val="0"/>
          <w:i w:val="0"/>
          <w:sz w:val="21"/>
        </w:rPr>
        <w:t>A Party is a legal entity that participates in the fund ecosystem in one or more functional roles (FundManager, Custodian, Distributor, AdvisorRep, etc.). Parties carry a LegalStructure and can be associated with platform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1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Guid (UUID v7)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304"/>
            <w:shd w:val="clear" w:color="auto" w:fill="E8EEF8"/>
          </w:tcPr>
          <w:p>
            <w:r>
              <w:rPr>
                <w:sz w:val="19"/>
              </w:rPr>
              <w:t>TenantId</w:t>
            </w:r>
          </w:p>
        </w:tc>
        <w:tc>
          <w:tcPr>
            <w:tcW w:type="dxa" w:w="2016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472"/>
            <w:shd w:val="clear" w:color="auto" w:fill="E8EEF8"/>
          </w:tcPr>
          <w:p>
            <w:r>
              <w:rPr>
                <w:sz w:val="19"/>
              </w:rPr>
              <w:t>Tenant scope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PartyCode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Unique within tenant; stored upper-cased</w:t>
            </w:r>
          </w:p>
        </w:tc>
      </w:tr>
      <w:tr>
        <w:tc>
          <w:tcPr>
            <w:tcW w:type="dxa" w:w="2304"/>
            <w:shd w:val="clear" w:color="auto" w:fill="E8EEF8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016"/>
            <w:shd w:val="clear" w:color="auto" w:fill="E8EEF8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  <w:shd w:val="clear" w:color="auto" w:fill="E8EEF8"/>
          </w:tcPr>
          <w:p>
            <w:r>
              <w:rPr>
                <w:sz w:val="19"/>
              </w:rPr>
              <w:t>Legal display name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LegalStructure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Individual | Company | Trust | SuperFund</w:t>
            </w:r>
          </w:p>
        </w:tc>
      </w:tr>
      <w:tr>
        <w:tc>
          <w:tcPr>
            <w:tcW w:type="dxa" w:w="2304"/>
            <w:shd w:val="clear" w:color="auto" w:fill="E8EE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016"/>
            <w:shd w:val="clear" w:color="auto" w:fill="E8EEF8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472"/>
            <w:shd w:val="clear" w:color="auto" w:fill="E8EEF8"/>
          </w:tcPr>
          <w:p>
            <w:r>
              <w:rPr>
                <w:sz w:val="19"/>
              </w:rPr>
              <w:t>Active | Closed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RoleAssignments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collection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ICollection&lt;PartyRoleAssignment&gt; — multi-role support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br/>
        <w:t>Key behaviours: Create() · Update() · Close() (soft delete)</w:t>
      </w:r>
    </w:p>
    <w:p>
      <w:pPr>
        <w:spacing w:before="160" w:after="80"/>
      </w:pPr>
      <w:r>
        <w:rPr>
          <w:b/>
          <w:color w:val="1F3864"/>
          <w:sz w:val="32"/>
        </w:rPr>
        <w:t>3.2  Investor</w:t>
      </w:r>
    </w:p>
    <w:p>
      <w:pPr>
        <w:spacing w:after="80"/>
      </w:pPr>
      <w:r>
        <w:rPr>
          <w:b w:val="0"/>
          <w:i w:val="0"/>
          <w:sz w:val="21"/>
        </w:rPr>
        <w:t>An Investor is an investment-specific compliance profile. It optionally links to a Party (nullable PartyId). KYC, AML, and FATCA/CRS status are stored here. At most one typed extension profile exists per investor, matched by LegalStructure.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 / Section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InvestorCode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Unique within tenant; upper-cased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PartyId (FK opt.)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Links to Party if a legal entity record also exists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LegalStructure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Individual | Company | Trust | SuperFund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KYC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KycStatus (Pending/Approved/Rejected/Expired), KycReviewedAt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FATCA/CRS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FatcaCrsStatus, GIIN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AML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AmlStatus, AmlGatewayReference, IsPEP, PepDetails, SourceOfWealth, unresolved counters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Tax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TaxResidencyCountry (ISO-2), TIN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Profiles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IndividualInvestorProfile | CorporateInvestorProfile | TrustInvestorProfile (one non-null)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br/>
        <w:t>Key behaviours: Create() · Update() · UpdateKyc() · UpdateAmlStatus() · UpdateFatcaCrs() · Close()</w:t>
      </w:r>
    </w:p>
    <w:p>
      <w:pPr>
        <w:spacing w:before="160" w:after="80"/>
      </w:pPr>
      <w:r>
        <w:rPr>
          <w:b/>
          <w:color w:val="1F3864"/>
          <w:sz w:val="32"/>
        </w:rPr>
        <w:t>3.3  InvestmentAccount</w:t>
      </w:r>
    </w:p>
    <w:p>
      <w:pPr>
        <w:spacing w:after="80"/>
      </w:pPr>
      <w:r>
        <w:rPr>
          <w:b w:val="0"/>
          <w:i w:val="0"/>
          <w:sz w:val="21"/>
        </w:rPr>
        <w:t>InvestmentAccount is the primary unit of investment activity. Holdings and Transactions are keyed by InvestmentAccountId. An account can be owned by multiple Parties and serviced by multiple Advisor Parties.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AccountNumber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Unique within tenant; upper-cased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AccountType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Individual | Joint | Trust | Corporate | SuperannuationFund | Partnership | Other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CertificateDate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Optional certificate issue date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Active | Inactive | Locked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PartyLinks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ICollection&lt;PartyInvestmentAccountLink&gt; — account owners with RelationshipType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AdvisorLinks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ICollection&lt;AdvisorInvestmentAccountLink&gt; — servicing advisors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br/>
        <w:t>Key behaviours: Create() · Update() · Activate() · Deactivate() · Lock()</w:t>
      </w:r>
    </w:p>
    <w:p>
      <w:pPr>
        <w:spacing w:before="160" w:after="80"/>
      </w:pPr>
      <w:r>
        <w:rPr>
          <w:b/>
          <w:color w:val="1F3864"/>
          <w:sz w:val="32"/>
        </w:rPr>
        <w:t>3.4  PartyRelationship</w:t>
      </w:r>
    </w:p>
    <w:p>
      <w:pPr>
        <w:spacing w:after="80"/>
      </w:pPr>
      <w:r>
        <w:rPr>
          <w:b w:val="0"/>
          <w:i w:val="0"/>
          <w:sz w:val="21"/>
        </w:rPr>
        <w:t>Records a directed association between two Party records with effective date range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FromPartyId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Source party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ToPartyId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Target party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RelationshipType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Subsidiary | Parent | SisterCompany | Trustee | Beneficiary | ...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EffectiveFrom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DateOnly — start of relationship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ExpiresAt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DateOnly? — null = currently active</w:t>
            </w:r>
          </w:p>
        </w:tc>
      </w:tr>
    </w:tbl>
    <w:p>
      <w:pPr>
        <w:spacing w:before="160" w:after="80"/>
      </w:pPr>
      <w:r>
        <w:rPr>
          <w:b/>
          <w:color w:val="1F3864"/>
          <w:sz w:val="32"/>
        </w:rPr>
        <w:t>3.5  CRM CQRS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Command / Query</w:t>
            </w:r>
          </w:p>
        </w:tc>
        <w:tc>
          <w:tcPr>
            <w:tcW w:type="dxa" w:w="57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CreatePartyCommand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Validate unique code; Party.Create(); publish PartyCreatedEvent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UpdatePartyCommand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Load, authorize, Party.Update()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DeletePartyCommand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Party.Close() — soft delete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AssignPartyRoleCommand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Idempotent role assignment (PartyFunctionalRole)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RemovePartyRoleCommand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Remove specific role from party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AddPartyRelationshipCommand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Create directed relationship between two parties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ExpirePartyRelationshipCommand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Set ExpiresAt on existing relationship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LinkUserToPartyCommand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Associate platform UserId with a Party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CreateInvestorCommand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Investor.Create(); optional PartyId link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UpdateInvestorCommand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Name, TIN, TaxResidency update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UpdateKycStatusCommand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Investor.UpdateKyc(status); KycReviewedAt = now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DeleteInvestorCommand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Investor.Close()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CreateInvestmentAccountCommand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InvestmentAccount.Create()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UpdateInvestmentAccountCommand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AccountNumber, type, certificate date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DeleteInvestmentAccountCommand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Account.Deactivate()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LinkPartyToAccountCommand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Add party owner link with relationship type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UnlinkPartyFromAccountCommand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Remove party owner link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LinkAdvisorToAccountCommand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Add advisor party link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UnlinkAdvisorFromAccountCommand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Remove advisor party link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GetPartyByIdQuery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Single party with role assignments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GetPartiesQuery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Tenant-filtered list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GetPartyInvestorsQuery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Investors linked to a party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GetInvestorByIdQuery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Single investor with extension profile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GetInvestorsQuery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Tenant-filtered list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GetInvestmentAccountByIdQuery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Single account with party/advisor links</w:t>
            </w:r>
          </w:p>
        </w:tc>
      </w:tr>
      <w:tr>
        <w:tc>
          <w:tcPr>
            <w:tcW w:type="dxa" w:w="4032"/>
            <w:shd w:val="clear" w:color="auto" w:fill="E8EEF8"/>
          </w:tcPr>
          <w:p>
            <w:r>
              <w:rPr>
                <w:sz w:val="19"/>
              </w:rPr>
              <w:t>GetInvestmentAccountsQuery</w:t>
            </w:r>
          </w:p>
        </w:tc>
        <w:tc>
          <w:tcPr>
            <w:tcW w:type="dxa" w:w="5760"/>
            <w:shd w:val="clear" w:color="auto" w:fill="E8EEF8"/>
          </w:tcPr>
          <w:p>
            <w:r>
              <w:rPr>
                <w:sz w:val="19"/>
              </w:rPr>
              <w:t>Tenant-filtered list</w:t>
            </w:r>
          </w:p>
        </w:tc>
      </w:tr>
    </w:tbl>
    <w:p>
      <w:pPr>
        <w:spacing w:before="160" w:after="80"/>
      </w:pPr>
      <w:r>
        <w:rPr>
          <w:b/>
          <w:color w:val="1F3864"/>
          <w:sz w:val="32"/>
        </w:rPr>
        <w:t>3.6  CRM Integration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Published By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Consumed By</w:t>
            </w:r>
          </w:p>
        </w:tc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PartyCreatedEvent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CreatePartyHandler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External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Notify of new party</w:t>
            </w:r>
          </w:p>
        </w:tc>
      </w:tr>
      <w:tr>
        <w:tc>
          <w:tcPr>
            <w:tcW w:type="dxa" w:w="2880"/>
            <w:shd w:val="clear" w:color="auto" w:fill="E8EEF8"/>
          </w:tcPr>
          <w:p>
            <w:r>
              <w:rPr>
                <w:sz w:val="19"/>
              </w:rPr>
              <w:t>InvestorCreatedEvent</w:t>
            </w:r>
          </w:p>
        </w:tc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CreateInvestorHandler</w:t>
            </w:r>
          </w:p>
        </w:tc>
        <w:tc>
          <w:tcPr>
            <w:tcW w:type="dxa" w:w="1728"/>
            <w:shd w:val="clear" w:color="auto" w:fill="E8EEF8"/>
          </w:tcPr>
          <w:p>
            <w:r>
              <w:rPr>
                <w:sz w:val="19"/>
              </w:rPr>
              <w:t>External</w:t>
            </w:r>
          </w:p>
        </w:tc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Notify of new investor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InvestorKycUpdatedEvent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UpdateKycStatusHandler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External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Allow downstream re-validation</w:t>
            </w:r>
          </w:p>
        </w:tc>
      </w:tr>
    </w:tbl>
    <w:p>
      <w:pPr>
        <w:spacing w:before="160" w:after="80"/>
      </w:pPr>
      <w:r>
        <w:rPr>
          <w:b/>
          <w:color w:val="1F3864"/>
          <w:sz w:val="32"/>
        </w:rPr>
        <w:t>3.7  CRM Database Schema  (schema: crm)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crm.Parties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Id, TenantId, PartyCode (unique per tenant), Name, LegalStructure, Status</w:t>
            </w:r>
          </w:p>
        </w:tc>
      </w:tr>
      <w:tr>
        <w:tc>
          <w:tcPr>
            <w:tcW w:type="dxa" w:w="3456"/>
            <w:shd w:val="clear" w:color="auto" w:fill="E8EEF8"/>
          </w:tcPr>
          <w:p>
            <w:r>
              <w:rPr>
                <w:sz w:val="19"/>
              </w:rPr>
              <w:t>crm.PartyRoleAssignments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Id, PartyId, FunctionalRole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crm.PartyRelationships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Id, FromPartyId, ToPartyId, RelationshipType, EffectiveFrom, ExpiresAt</w:t>
            </w:r>
          </w:p>
        </w:tc>
      </w:tr>
      <w:tr>
        <w:tc>
          <w:tcPr>
            <w:tcW w:type="dxa" w:w="3456"/>
            <w:shd w:val="clear" w:color="auto" w:fill="E8EEF8"/>
          </w:tcPr>
          <w:p>
            <w:r>
              <w:rPr>
                <w:sz w:val="19"/>
              </w:rPr>
              <w:t>crm.UserPartyLinks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Id, PartyId, UserId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crm.Investors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Id, TenantId, InvestorCode, PartyId (nullable FK), KycStatus, AmlStatus, FatcaCrsStatus, TaxResidencyCountry, TIN, GIIN, IsPEP, ...</w:t>
            </w:r>
          </w:p>
        </w:tc>
      </w:tr>
      <w:tr>
        <w:tc>
          <w:tcPr>
            <w:tcW w:type="dxa" w:w="3456"/>
            <w:shd w:val="clear" w:color="auto" w:fill="E8EEF8"/>
          </w:tcPr>
          <w:p>
            <w:r>
              <w:rPr>
                <w:sz w:val="19"/>
              </w:rPr>
              <w:t>crm.IndividualInvestorProfiles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InvestorId (1:1 PK/FK), FirstName, LastName, DateOfBirth, Gender, Nationality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crm.CorporateInvestorProfiles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InvestorId (1:1 PK/FK), CompanyNumber, IncorporationDate, IncorporationCountry</w:t>
            </w:r>
          </w:p>
        </w:tc>
      </w:tr>
      <w:tr>
        <w:tc>
          <w:tcPr>
            <w:tcW w:type="dxa" w:w="3456"/>
            <w:shd w:val="clear" w:color="auto" w:fill="E8EEF8"/>
          </w:tcPr>
          <w:p>
            <w:r>
              <w:rPr>
                <w:sz w:val="19"/>
              </w:rPr>
              <w:t>crm.TrustInvestorProfiles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InvestorId (1:1 PK/FK), TrustDeedDate, TrustType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crm.InvestorDocuments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Id, InvestorId, DocumentType, StorageUrl, ExpiresAt</w:t>
            </w:r>
          </w:p>
        </w:tc>
      </w:tr>
      <w:tr>
        <w:tc>
          <w:tcPr>
            <w:tcW w:type="dxa" w:w="3456"/>
            <w:shd w:val="clear" w:color="auto" w:fill="E8EEF8"/>
          </w:tcPr>
          <w:p>
            <w:r>
              <w:rPr>
                <w:sz w:val="19"/>
              </w:rPr>
              <w:t>crm.InvestmentAccounts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Id, TenantId, AccountNumber (unique per tenant), AccountType, CertificateDate, Status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crm.PartyInvestmentAccountLinks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Id, InvestmentAccountId, PartyId, RelationshipType</w:t>
            </w:r>
          </w:p>
        </w:tc>
      </w:tr>
      <w:tr>
        <w:tc>
          <w:tcPr>
            <w:tcW w:type="dxa" w:w="3456"/>
            <w:shd w:val="clear" w:color="auto" w:fill="E8EEF8"/>
          </w:tcPr>
          <w:p>
            <w:r>
              <w:rPr>
                <w:sz w:val="19"/>
              </w:rPr>
              <w:t>crm.AdvisorInvestmentAccountLinks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Id, InvestmentAccountId, AdvisorPartyId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4.  Registry Module</w:t>
      </w:r>
    </w:p>
    <w:p>
      <w:pPr>
        <w:spacing w:after="80"/>
      </w:pPr>
      <w:r>
        <w:rPr>
          <w:b w:val="0"/>
          <w:i w:val="0"/>
          <w:sz w:val="21"/>
        </w:rPr>
        <w:t>The Registry module maintains the three-tier Product → Fund → FundClass hierarchy, aligned with the industry standard used by Taurus, ASIC, and APRA. Product (Scheme) is the regulatory parent; Fund (Sub-fund) is the investment vehicle; FundClass (Share Class) is the investor-facing unit series.</w:t>
      </w:r>
    </w:p>
    <w:p>
      <w:pPr>
        <w:spacing w:before="160" w:after="80"/>
      </w:pPr>
      <w:r>
        <w:rPr>
          <w:b/>
          <w:color w:val="1F3864"/>
          <w:sz w:val="32"/>
        </w:rPr>
        <w:t>4.1  Product (Scheme)</w:t>
      </w:r>
    </w:p>
    <w:p>
      <w:pPr>
        <w:spacing w:after="80"/>
      </w:pPr>
      <w:r>
        <w:rPr>
          <w:b w:val="0"/>
          <w:i w:val="0"/>
          <w:sz w:val="21"/>
        </w:rPr>
        <w:t>Product holds scheme-level regulatory identity (ARSN, APIR, ISIN). It is an optional parent of Fund — Fund.ProductId is a nullable FK. OnDelete(Restrict) prevents deletion of a Product that has Fund children.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Guid (UUID v7)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TenantId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Tenant scope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ProductCode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Unique within tenant; upper-cased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ProductName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Display name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ProductType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ManagedFund | ETF | Superannuation | IDPS | LIT | Other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BaseCurrency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string (3)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ISO 4217 scheme base currency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ApirCode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string? (9)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APIR — Australian Product Identification Reference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Isin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string? (12)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ISIN — ISO 6166 identifier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RegulatorSchemeNumber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string?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ARSN — Australian Registered Scheme Number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PdsReference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string?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Product Disclosure Statement reference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IssuerName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string?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Name of the issuing entity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InceptionDate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DateOnly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Scheme commencement date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WindUpDate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DateOnly?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Wind-up date if applicable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Active | Closed | Suspended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br/>
        <w:t>Key behaviours: Create() · Update() · Close() · Suspend() · Reactivate()</w:t>
      </w:r>
    </w:p>
    <w:p>
      <w:pPr>
        <w:spacing w:after="80"/>
      </w:pPr>
      <w:r>
        <w:rPr>
          <w:b w:val="0"/>
          <w:i w:val="0"/>
          <w:sz w:val="21"/>
        </w:rPr>
        <w:t>Navigation: IReadOnlyCollection&lt;Fund&gt; Funds (child sub-funds)</w:t>
      </w:r>
    </w:p>
    <w:p>
      <w:pPr>
        <w:spacing w:before="160" w:after="80"/>
      </w:pPr>
      <w:r>
        <w:rPr>
          <w:b/>
          <w:color w:val="1F3864"/>
          <w:sz w:val="32"/>
        </w:rPr>
        <w:t>4.2  Fund (Sub-fund)</w:t>
      </w:r>
    </w:p>
    <w:p>
      <w:pPr>
        <w:spacing w:after="80"/>
      </w:pPr>
      <w:r>
        <w:rPr>
          <w:b w:val="0"/>
          <w:i w:val="0"/>
          <w:sz w:val="21"/>
        </w:rPr>
        <w:t>A Fund is the investment vehicle. It optionally belongs to a Product via nullable ProductId. fund.SetProduct(Guid?) links or unlinks the Product association.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4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Guid (UUID v7)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160"/>
            <w:shd w:val="clear" w:color="auto" w:fill="E8EEF8"/>
          </w:tcPr>
          <w:p>
            <w:r>
              <w:rPr>
                <w:sz w:val="19"/>
              </w:rPr>
              <w:t>TenantId</w:t>
            </w:r>
          </w:p>
        </w:tc>
        <w:tc>
          <w:tcPr>
            <w:tcW w:type="dxa" w:w="2160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472"/>
            <w:shd w:val="clear" w:color="auto" w:fill="E8EEF8"/>
          </w:tcPr>
          <w:p>
            <w:r>
              <w:rPr>
                <w:sz w:val="19"/>
              </w:rPr>
              <w:t>Tenant scope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ProductId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Guid?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Nullable FK → registry.Products (ON DELETE RESTRICT)</w:t>
            </w:r>
          </w:p>
        </w:tc>
      </w:tr>
      <w:tr>
        <w:tc>
          <w:tcPr>
            <w:tcW w:type="dxa" w:w="2160"/>
            <w:shd w:val="clear" w:color="auto" w:fill="E8EEF8"/>
          </w:tcPr>
          <w:p>
            <w:r>
              <w:rPr>
                <w:sz w:val="19"/>
              </w:rPr>
              <w:t>FundCode</w:t>
            </w:r>
          </w:p>
        </w:tc>
        <w:tc>
          <w:tcPr>
            <w:tcW w:type="dxa" w:w="2160"/>
            <w:shd w:val="clear" w:color="auto" w:fill="E8EEF8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  <w:shd w:val="clear" w:color="auto" w:fill="E8EEF8"/>
          </w:tcPr>
          <w:p>
            <w:r>
              <w:rPr>
                <w:sz w:val="19"/>
              </w:rPr>
              <w:t>Unique within tenant; upper-cased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FundName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Display name</w:t>
            </w:r>
          </w:p>
        </w:tc>
      </w:tr>
      <w:tr>
        <w:tc>
          <w:tcPr>
            <w:tcW w:type="dxa" w:w="2160"/>
            <w:shd w:val="clear" w:color="auto" w:fill="E8EEF8"/>
          </w:tcPr>
          <w:p>
            <w:r>
              <w:rPr>
                <w:sz w:val="19"/>
              </w:rPr>
              <w:t>FundType</w:t>
            </w:r>
          </w:p>
        </w:tc>
        <w:tc>
          <w:tcPr>
            <w:tcW w:type="dxa" w:w="2160"/>
            <w:shd w:val="clear" w:color="auto" w:fill="E8EEF8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472"/>
            <w:shd w:val="clear" w:color="auto" w:fill="E8EEF8"/>
          </w:tcPr>
          <w:p>
            <w:r>
              <w:rPr>
                <w:sz w:val="19"/>
              </w:rPr>
              <w:t>UCITS | AIF | Hedge | ETF | PrivateEquity | Other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BaseCurrency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string (3)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ISO 4217 fund base currency</w:t>
            </w:r>
          </w:p>
        </w:tc>
      </w:tr>
      <w:tr>
        <w:tc>
          <w:tcPr>
            <w:tcW w:type="dxa" w:w="2160"/>
            <w:shd w:val="clear" w:color="auto" w:fill="E8EEF8"/>
          </w:tcPr>
          <w:p>
            <w:r>
              <w:rPr>
                <w:sz w:val="19"/>
              </w:rPr>
              <w:t>InceptionDate</w:t>
            </w:r>
          </w:p>
        </w:tc>
        <w:tc>
          <w:tcPr>
            <w:tcW w:type="dxa" w:w="2160"/>
            <w:shd w:val="clear" w:color="auto" w:fill="E8EEF8"/>
          </w:tcPr>
          <w:p>
            <w:r>
              <w:rPr>
                <w:sz w:val="19"/>
              </w:rPr>
              <w:t>DateOnly</w:t>
            </w:r>
          </w:p>
        </w:tc>
        <w:tc>
          <w:tcPr>
            <w:tcW w:type="dxa" w:w="5472"/>
            <w:shd w:val="clear" w:color="auto" w:fill="E8EEF8"/>
          </w:tcPr>
          <w:p>
            <w:r>
              <w:rPr>
                <w:sz w:val="19"/>
              </w:rPr>
              <w:t>Fund commencement date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9"/>
              </w:rPr>
              <w:t>Active | Closed | Liquidating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br/>
        <w:t>Key behaviours: Create() · Update() · SetProduct(Guid?) · Close()</w:t>
      </w:r>
    </w:p>
    <w:p>
      <w:pPr>
        <w:spacing w:before="160" w:after="80"/>
      </w:pPr>
      <w:r>
        <w:rPr>
          <w:b/>
          <w:color w:val="1F3864"/>
          <w:sz w:val="32"/>
        </w:rPr>
        <w:t>4.3  FundClass (Share Class)</w:t>
      </w:r>
    </w:p>
    <w:p>
      <w:pPr>
        <w:spacing w:after="80"/>
      </w:pPr>
      <w:r>
        <w:rPr>
          <w:b w:val="0"/>
          <w:i w:val="0"/>
          <w:sz w:val="21"/>
        </w:rPr>
        <w:t>FundClass is the investor-facing unit series within a Fund. It carries fee rates, NAV frequency, minimum investment, and class currency. IsOpenForSubscription() returns true only when Status == Active.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Guid (UUID v7)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FundId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FK → registry.Funds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TenantId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Tenant scope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ClassCode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Unique within fund; upper-cased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ClassName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Display name (e.g. Class A, Institutional)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Currency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string (3)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ISO 4217 class denomination currency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MinInitialInvestment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decimal?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Minimum subscription amount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ManagementFeeRate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decimal?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Annual management fee (e.g. 0.015 = 1.5%)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PerformanceFeeRate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decimal?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Performance fee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NavFrequency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Daily | Weekly | Monthly | Quarterly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Active | SoftClosed | Closed | Liquidating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br/>
        <w:t>Key behaviours: Create() · Update() · Close() · IsOpenForSubscription()</w:t>
      </w:r>
    </w:p>
    <w:p>
      <w:pPr>
        <w:spacing w:before="160" w:after="80"/>
      </w:pPr>
      <w:r>
        <w:rPr>
          <w:b/>
          <w:color w:val="1F3864"/>
          <w:sz w:val="32"/>
        </w:rPr>
        <w:t>4.4  Registry CQRS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Command / Query</w:t>
            </w:r>
          </w:p>
        </w:tc>
        <w:tc>
          <w:tcPr>
            <w:tcW w:type="dxa" w:w="60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CreateProductCommand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Validate unique code; Product.Create(); publish ProductCreatedEvent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UpdateProductCommand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Load, authorize, product.Update()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DeleteProductCommand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product.Close(); publish ProductStatusChangedEvent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GetProductByIdQuery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Single product DTO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GetProductsQuery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Tenant-filtered list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GetProductFundsQuery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All funds belonging to a product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CreateFundCommand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Validate code; Fund.Create(); optional SetProduct(); publish FundCreatedEvent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UpdateFundCommand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Load, authorize, fund.Update(); ProductId / ClearProduct flag logic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DeleteFundCommand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fund.Close(); publish FundStatusChangedEvent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GetFundByIdQuery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Single fund DTO (includes ProductId)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GetFundsQuery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Tenant-filtered list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CreateFundClassCommand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Validate unique code within fund; FundClass.Create(); publish ClassCreatedEvent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UpdateFundClassCommand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Load, authorize, class.Update()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DeleteFundClassCommand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class.Close(); publish ClassStatusChangedEvent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GetFundClassByIdQuery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Single class DTO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GetFundClassesQuery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Fund-filtered list</w:t>
            </w:r>
          </w:p>
        </w:tc>
      </w:tr>
    </w:tbl>
    <w:p>
      <w:pPr>
        <w:spacing w:before="160" w:after="80"/>
      </w:pPr>
      <w:r>
        <w:rPr>
          <w:b/>
          <w:color w:val="1F3864"/>
          <w:sz w:val="32"/>
        </w:rPr>
        <w:t>4.5  Registry Integration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Published By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Consumed By</w:t>
            </w:r>
          </w:p>
        </w:tc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ProductCreatedEvent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CreateProductHandler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External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New scheme notification</w:t>
            </w:r>
          </w:p>
        </w:tc>
      </w:tr>
      <w:tr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ProductStatusChangedEvent</w:t>
            </w:r>
          </w:p>
        </w:tc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DeleteProductHandler</w:t>
            </w:r>
          </w:p>
        </w:tc>
        <w:tc>
          <w:tcPr>
            <w:tcW w:type="dxa" w:w="1728"/>
            <w:shd w:val="clear" w:color="auto" w:fill="E8EEF8"/>
          </w:tcPr>
          <w:p>
            <w:r>
              <w:rPr>
                <w:sz w:val="19"/>
              </w:rPr>
              <w:t>External</w:t>
            </w:r>
          </w:p>
        </w:tc>
        <w:tc>
          <w:tcPr>
            <w:tcW w:type="dxa" w:w="2304"/>
            <w:shd w:val="clear" w:color="auto" w:fill="E8EEF8"/>
          </w:tcPr>
          <w:p>
            <w:r>
              <w:rPr>
                <w:sz w:val="19"/>
              </w:rPr>
              <w:t>Scheme closure notification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FundCreatedEvent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CreateFundHandler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External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New sub-fund notification</w:t>
            </w:r>
          </w:p>
        </w:tc>
      </w:tr>
      <w:tr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FundStatusChangedEvent</w:t>
            </w:r>
          </w:p>
        </w:tc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DeleteFundHandler</w:t>
            </w:r>
          </w:p>
        </w:tc>
        <w:tc>
          <w:tcPr>
            <w:tcW w:type="dxa" w:w="1728"/>
            <w:shd w:val="clear" w:color="auto" w:fill="E8EEF8"/>
          </w:tcPr>
          <w:p>
            <w:r>
              <w:rPr>
                <w:sz w:val="19"/>
              </w:rPr>
              <w:t>Holdings</w:t>
            </w:r>
          </w:p>
        </w:tc>
        <w:tc>
          <w:tcPr>
            <w:tcW w:type="dxa" w:w="2304"/>
            <w:shd w:val="clear" w:color="auto" w:fill="E8EEF8"/>
          </w:tcPr>
          <w:p>
            <w:r>
              <w:rPr>
                <w:sz w:val="19"/>
              </w:rPr>
              <w:t>Freeze holdings on fund close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ClassCreatedEvent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CreateClassHandler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External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New share class notification</w:t>
            </w:r>
          </w:p>
        </w:tc>
      </w:tr>
      <w:tr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ClassStatusChangedEvent</w:t>
            </w:r>
          </w:p>
        </w:tc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DeleteClassHandler</w:t>
            </w:r>
          </w:p>
        </w:tc>
        <w:tc>
          <w:tcPr>
            <w:tcW w:type="dxa" w:w="1728"/>
            <w:shd w:val="clear" w:color="auto" w:fill="E8EEF8"/>
          </w:tcPr>
          <w:p>
            <w:r>
              <w:rPr>
                <w:sz w:val="19"/>
              </w:rPr>
              <w:t>Holdings</w:t>
            </w:r>
          </w:p>
        </w:tc>
        <w:tc>
          <w:tcPr>
            <w:tcW w:type="dxa" w:w="2304"/>
            <w:shd w:val="clear" w:color="auto" w:fill="E8EEF8"/>
          </w:tcPr>
          <w:p>
            <w:r>
              <w:rPr>
                <w:sz w:val="19"/>
              </w:rPr>
              <w:t>Freeze/unfreeze class holdings</w:t>
            </w:r>
          </w:p>
        </w:tc>
      </w:tr>
    </w:tbl>
    <w:p>
      <w:pPr>
        <w:spacing w:before="160" w:after="80"/>
      </w:pPr>
      <w:r>
        <w:rPr>
          <w:b/>
          <w:color w:val="1F3864"/>
          <w:sz w:val="32"/>
        </w:rPr>
        <w:t>4.6  Registry Database Schema  (schema: registry)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720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registry.Products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Id, TenantId, ProductCode (unique per tenant), ProductName, ProductType, BaseCurrency, ApirCode, Isin, RegulatorSchemeNumber, PdsReference, IssuerName, InceptionDate, WindUpDate, Status</w:t>
            </w:r>
          </w:p>
        </w:tc>
      </w:tr>
      <w:tr>
        <w:tc>
          <w:tcPr>
            <w:tcW w:type="dxa" w:w="2592"/>
            <w:shd w:val="clear" w:color="auto" w:fill="E8EEF8"/>
          </w:tcPr>
          <w:p>
            <w:r>
              <w:rPr>
                <w:sz w:val="19"/>
              </w:rPr>
              <w:t>registry.Funds</w:t>
            </w:r>
          </w:p>
        </w:tc>
        <w:tc>
          <w:tcPr>
            <w:tcW w:type="dxa" w:w="7200"/>
            <w:shd w:val="clear" w:color="auto" w:fill="E8EEF8"/>
          </w:tcPr>
          <w:p>
            <w:r>
              <w:rPr>
                <w:sz w:val="19"/>
              </w:rPr>
              <w:t>Id, TenantId, ProductId (nullable FK → Products ON DELETE NO ACTION), FundCode (unique per tenant), FundName, FundType, BaseCurrency, InceptionDate, Status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registry.FundClasses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Id, FundId (FK → Funds), TenantId, ClassCode (unique per fund), ClassName, Currency, MinInitialInvestment, ManagementFeeRate, PerformanceFeeRate, NavFrequency, Status</w:t>
            </w:r>
          </w:p>
        </w:tc>
      </w:tr>
    </w:tbl>
    <w:p/>
    <w:p>
      <w:pPr>
        <w:spacing w:after="80"/>
      </w:pPr>
      <w:r>
        <w:rPr>
          <w:b/>
          <w:i w:val="0"/>
          <w:sz w:val="21"/>
        </w:rPr>
        <w:t>Unique indexes:</w:t>
      </w:r>
    </w:p>
    <w:p>
      <w:pPr>
        <w:pStyle w:val="ListBullet"/>
        <w:spacing w:after="40"/>
        <w:ind w:left="360"/>
      </w:pPr>
      <w:r>
        <w:rPr>
          <w:sz w:val="21"/>
        </w:rPr>
        <w:t>IX_Products_TenantId_ProductCode  — code uniqueness per tenant</w:t>
      </w:r>
    </w:p>
    <w:p>
      <w:pPr>
        <w:pStyle w:val="ListBullet"/>
        <w:spacing w:after="40"/>
        <w:ind w:left="360"/>
      </w:pPr>
      <w:r>
        <w:rPr>
          <w:sz w:val="21"/>
        </w:rPr>
        <w:t>IX_Funds_TenantId_FundCode  — code uniqueness per tenant</w:t>
      </w:r>
    </w:p>
    <w:p>
      <w:pPr>
        <w:pStyle w:val="ListBullet"/>
        <w:spacing w:after="40"/>
        <w:ind w:left="360"/>
      </w:pPr>
      <w:r>
        <w:rPr>
          <w:sz w:val="21"/>
        </w:rPr>
        <w:t>IX_FundClasses_FundId_ClassCode  — code uniqueness per fund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5.  Holdings Module</w:t>
      </w:r>
    </w:p>
    <w:p>
      <w:pPr>
        <w:spacing w:after="80"/>
      </w:pPr>
      <w:r>
        <w:rPr>
          <w:b w:val="0"/>
          <w:i w:val="0"/>
          <w:sz w:val="21"/>
        </w:rPr>
        <w:t>Holdings is the authoritative unit ledger. It maintains a running unit balance for every (TenantId, InvestmentAccountId, ClassId) combination. There are NO direct HTTP write endpoints — all mutations arrive through integration events.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Guid (UUID v7)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TenantId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Tenant scope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InvestmentAccountId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App-level FK to crm.InvestmentAccounts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ClassId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App-level FK to registry.FundClasses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Units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Running unit balance; starts at 0.0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Active | Frozen | Closed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LastTransactionAt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DateTime?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Timestamp of last event applied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br/>
        <w:t>Key behaviours:</w:t>
      </w:r>
    </w:p>
    <w:p>
      <w:pPr>
        <w:pStyle w:val="ListBullet"/>
        <w:spacing w:after="40"/>
        <w:ind w:left="360"/>
      </w:pPr>
      <w:r>
        <w:rPr>
          <w:sz w:val="21"/>
        </w:rPr>
        <w:t>ApplySubscription(units) — adds units, updates LastTransactionAt</w:t>
      </w:r>
    </w:p>
    <w:p>
      <w:pPr>
        <w:pStyle w:val="ListBullet"/>
        <w:spacing w:after="40"/>
        <w:ind w:left="360"/>
      </w:pPr>
      <w:r>
        <w:rPr>
          <w:sz w:val="21"/>
        </w:rPr>
        <w:t>ApplyRedemption(units) — subtracts units; auto-closes when Units = 0</w:t>
      </w:r>
    </w:p>
    <w:p>
      <w:pPr>
        <w:pStyle w:val="ListBullet"/>
        <w:spacing w:after="40"/>
        <w:ind w:left="360"/>
      </w:pPr>
      <w:r>
        <w:rPr>
          <w:sz w:val="21"/>
        </w:rPr>
        <w:t>ApplyTransfer(units) — delegates to ApplyRedemption</w:t>
      </w:r>
    </w:p>
    <w:p>
      <w:pPr>
        <w:pStyle w:val="ListBullet"/>
        <w:spacing w:after="40"/>
        <w:ind w:left="360"/>
      </w:pPr>
      <w:r>
        <w:rPr>
          <w:sz w:val="21"/>
        </w:rPr>
        <w:t>Freeze() / Unfreeze() — toggles Active ↔ Frozen; triggered by ClassStatusChangedEvent</w:t>
      </w:r>
    </w:p>
    <w:p>
      <w:pPr>
        <w:spacing w:after="80"/>
      </w:pPr>
      <w:r>
        <w:rPr>
          <w:b/>
          <w:i w:val="0"/>
          <w:sz w:val="21"/>
        </w:rPr>
        <w:br/>
        <w:t>Event mutations: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Integration Event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8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Holdings Action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TransactionProcessedEvent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Transaction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9"/>
              </w:rPr>
              <w:t>Upsert Holding; apply units delta based on TransactionType (Subscription +, Redemption -, Transfer -)</w:t>
            </w:r>
          </w:p>
        </w:tc>
      </w:tr>
      <w:tr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ClassStatusChangedEvent</w:t>
            </w:r>
          </w:p>
        </w:tc>
        <w:tc>
          <w:tcPr>
            <w:tcW w:type="dxa" w:w="1728"/>
            <w:shd w:val="clear" w:color="auto" w:fill="E8EEF8"/>
          </w:tcPr>
          <w:p>
            <w:r>
              <w:rPr>
                <w:sz w:val="19"/>
              </w:rPr>
              <w:t>Registry</w:t>
            </w:r>
          </w:p>
        </w:tc>
        <w:tc>
          <w:tcPr>
            <w:tcW w:type="dxa" w:w="4896"/>
            <w:shd w:val="clear" w:color="auto" w:fill="E8EEF8"/>
          </w:tcPr>
          <w:p>
            <w:r>
              <w:rPr>
                <w:sz w:val="19"/>
              </w:rPr>
              <w:t>Freeze all Active holdings for the class on closure; unfreeze on reactivation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  <w:br/>
        <w:t>Read endpoints (GET only):</w:t>
      </w:r>
    </w:p>
    <w:p>
      <w:pPr>
        <w:pStyle w:val="ListBullet"/>
        <w:spacing w:after="40"/>
        <w:ind w:left="360"/>
      </w:pPr>
      <w:r>
        <w:rPr>
          <w:sz w:val="21"/>
        </w:rPr>
        <w:t>GET /api/v1/holding — tenant-scoped list</w:t>
      </w:r>
    </w:p>
    <w:p>
      <w:pPr>
        <w:pStyle w:val="ListBullet"/>
        <w:spacing w:after="40"/>
        <w:ind w:left="360"/>
      </w:pPr>
      <w:r>
        <w:rPr>
          <w:sz w:val="21"/>
        </w:rPr>
        <w:t>GET /api/v1/holding/{id} — single holding</w:t>
      </w:r>
    </w:p>
    <w:p>
      <w:pPr>
        <w:pStyle w:val="ListBullet"/>
        <w:spacing w:after="40"/>
        <w:ind w:left="360"/>
      </w:pPr>
      <w:r>
        <w:rPr>
          <w:sz w:val="21"/>
        </w:rPr>
        <w:t>GET /api/v1/investor/{investmentAccountId}/holdings — by account</w:t>
      </w:r>
    </w:p>
    <w:p>
      <w:pPr>
        <w:pStyle w:val="ListBullet"/>
        <w:spacing w:after="40"/>
        <w:ind w:left="360"/>
      </w:pPr>
      <w:r>
        <w:rPr>
          <w:sz w:val="21"/>
        </w:rPr>
        <w:t>GET /api/v1/fund/{fundId}/class/{classId}/holdings — by class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6.  Transaction Module</w:t>
      </w:r>
    </w:p>
    <w:p>
      <w:pPr>
        <w:spacing w:after="80"/>
      </w:pPr>
      <w:r>
        <w:rPr>
          <w:b w:val="0"/>
          <w:i w:val="0"/>
          <w:sz w:val="21"/>
        </w:rPr>
        <w:t>The Transaction module orchestrates all investment activity through a state machine. It validates pre-conditions from CRM (KYC) and Registry (class open) before creation, and drives Holdings update upon successful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Guid (UUID v7)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TenantId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Tenant scope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Subscription | Redemption | Transfer | Switch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InvestmentAccountId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Account performing the instruction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FundId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Source fund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ClassId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Guid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Source class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TargetClassId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Guid?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Target class — Transfer and Switch only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Investment amount in class currency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Units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decimal?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Set at Process(): Amount / NAVPrice (8 dp)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NAVPrice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decimal?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Set at Process()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TradeDate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DateOnly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Date instruction was entered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SettlementDate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DateOnly?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Set at Settle()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9"/>
              </w:rPr>
              <w:t>Pending | Processing | Processed | Settled | Cancelled | Failed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FailureReason</w:t>
            </w:r>
          </w:p>
        </w:tc>
        <w:tc>
          <w:tcPr>
            <w:tcW w:type="dxa" w:w="1872"/>
            <w:shd w:val="clear" w:color="auto" w:fill="E8EEF8"/>
          </w:tcPr>
          <w:p>
            <w:r>
              <w:rPr>
                <w:sz w:val="19"/>
              </w:rPr>
              <w:t>string?</w:t>
            </w:r>
          </w:p>
        </w:tc>
        <w:tc>
          <w:tcPr>
            <w:tcW w:type="dxa" w:w="5184"/>
            <w:shd w:val="clear" w:color="auto" w:fill="E8EEF8"/>
          </w:tcPr>
          <w:p>
            <w:r>
              <w:rPr>
                <w:sz w:val="19"/>
              </w:rPr>
              <w:t>Populated by Cancel() or Fail()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br/>
        <w:t>State machine:</w:t>
      </w:r>
    </w:p>
    <w:p>
      <w:pPr>
        <w:spacing w:after="80"/>
        <w:ind w:left="432"/>
        <w:shd w:val="clear" w:color="auto" w:fill="F3F4F6"/>
      </w:pPr>
      <w:r>
        <w:rPr>
          <w:rFonts w:ascii="Courier New" w:hAnsi="Courier New"/>
          <w:sz w:val="18"/>
        </w:rPr>
        <w:t>Pending ──► Process(navPrice) ──► Processed ──► Settle() ──► Settled</w:t>
        <w:br/>
        <w:t xml:space="preserve">   │                                   │</w:t>
        <w:br/>
        <w:t xml:space="preserve">   ├─► Cancel() ──► Cancelled          └─► Fail() ──► Failed</w:t>
        <w:br/>
        <w:t xml:space="preserve">   └─► Fail()   ──► Failed</w:t>
      </w:r>
    </w:p>
    <w:p>
      <w:pPr>
        <w:spacing w:after="80"/>
      </w:pPr>
      <w:r>
        <w:rPr>
          <w:b/>
          <w:i w:val="0"/>
          <w:sz w:val="21"/>
        </w:rPr>
        <w:br/>
        <w:t>Cross-module validation before Create:</w:t>
      </w:r>
    </w:p>
    <w:p>
      <w:pPr>
        <w:pStyle w:val="ListBullet"/>
        <w:spacing w:after="40"/>
        <w:ind w:left="360"/>
      </w:pPr>
      <w:r>
        <w:rPr>
          <w:sz w:val="21"/>
        </w:rPr>
        <w:t>ICrmReader.IsInvestorKycApprovedAsync(investmentAccountId) — KYC must be Approved</w:t>
      </w:r>
    </w:p>
    <w:p>
      <w:pPr>
        <w:pStyle w:val="ListBullet"/>
        <w:spacing w:after="40"/>
        <w:ind w:left="360"/>
      </w:pPr>
      <w:r>
        <w:rPr>
          <w:sz w:val="21"/>
        </w:rPr>
        <w:t>IRegistryReader.IsClassOpenForSubscriptionAsync(classId) — class must be Active</w:t>
      </w:r>
    </w:p>
    <w:p>
      <w:pPr>
        <w:spacing w:after="80"/>
      </w:pPr>
      <w:r>
        <w:rPr>
          <w:b/>
          <w:i w:val="0"/>
          <w:sz w:val="21"/>
        </w:rPr>
        <w:br/>
        <w:t>CQRS operations: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Command / Query</w:t>
            </w:r>
          </w:p>
        </w:tc>
        <w:tc>
          <w:tcPr>
            <w:tcW w:type="dxa" w:w="60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CreateSubscriptionCommand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KYC + class check; Transaction.CreateSubscription()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CreateRedemptionCommand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KYC check; Transaction.CreateRedemption()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CreateTransferCommand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KYC check; Transaction.CreateTransfer(targetClassId)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CreateSwitchCommand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KYC + both class checks; Transaction.CreateSwitch(targetClassId)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ProcessTransactionCommand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Transaction.Process(navPrice); publish TransactionProcessedEvent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CancelTransactionCommand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Transaction.Cancel(reason)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GetTransactionByIdQuery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Single transaction DTO</w:t>
            </w:r>
          </w:p>
        </w:tc>
      </w:tr>
      <w:tr>
        <w:tc>
          <w:tcPr>
            <w:tcW w:type="dxa" w:w="3744"/>
            <w:shd w:val="clear" w:color="auto" w:fill="E8EEF8"/>
          </w:tcPr>
          <w:p>
            <w:r>
              <w:rPr>
                <w:sz w:val="19"/>
              </w:rPr>
              <w:t>GetTransactionsQuery</w:t>
            </w:r>
          </w:p>
        </w:tc>
        <w:tc>
          <w:tcPr>
            <w:tcW w:type="dxa" w:w="6048"/>
            <w:shd w:val="clear" w:color="auto" w:fill="E8EEF8"/>
          </w:tcPr>
          <w:p>
            <w:r>
              <w:rPr>
                <w:sz w:val="19"/>
              </w:rPr>
              <w:t>Tenant-filtered list; optional account/type/status filter</w:t>
            </w:r>
          </w:p>
        </w:tc>
      </w:tr>
    </w:tbl>
    <w:p>
      <w:pPr>
        <w:spacing w:after="80"/>
      </w:pPr>
      <w:r>
        <w:rPr>
          <w:b/>
          <w:i w:val="0"/>
          <w:sz w:val="21"/>
        </w:rPr>
        <w:br/>
        <w:t>Database schema  (schema: transaction):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91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transaction.Transactions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Id, TenantId, Type, InvestmentAccountId, FundId, ClassId, TargetClassId (nullable), Amount, Units (nullable), NAVPrice (nullable), TradeDate, SettlementDate (nullable), Status, FailureReason (nullable)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7.  Cross-Module Integration</w:t>
      </w:r>
    </w:p>
    <w:p>
      <w:pPr>
        <w:spacing w:after="80"/>
      </w:pPr>
      <w:r>
        <w:rPr>
          <w:b w:val="0"/>
          <w:i w:val="0"/>
          <w:sz w:val="21"/>
        </w:rPr>
        <w:t>Modules communicate via IIntegrationEventBus (InMemoryIntegrationEventBus). Swapping to an external broker (RabbitMQ, Azure Service Bus) requires only a new Infrastructure.{Provider} project — no Application layer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15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15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Transaction processed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Transaction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Holdings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TransactionProcessedEvent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Holdings upserts Holding; applies units delta</w:t>
            </w:r>
          </w:p>
        </w:tc>
      </w:tr>
      <w:tr>
        <w:tc>
          <w:tcPr>
            <w:tcW w:type="dxa" w:w="2304"/>
            <w:shd w:val="clear" w:color="auto" w:fill="E8EEF8"/>
          </w:tcPr>
          <w:p>
            <w:r>
              <w:rPr>
                <w:sz w:val="19"/>
              </w:rPr>
              <w:t>Class status changed</w:t>
            </w:r>
          </w:p>
        </w:tc>
        <w:tc>
          <w:tcPr>
            <w:tcW w:type="dxa" w:w="1584"/>
            <w:shd w:val="clear" w:color="auto" w:fill="E8EEF8"/>
          </w:tcPr>
          <w:p>
            <w:r>
              <w:rPr>
                <w:sz w:val="19"/>
              </w:rPr>
              <w:t>Registry</w:t>
            </w:r>
          </w:p>
        </w:tc>
        <w:tc>
          <w:tcPr>
            <w:tcW w:type="dxa" w:w="1584"/>
            <w:shd w:val="clear" w:color="auto" w:fill="E8EEF8"/>
          </w:tcPr>
          <w:p>
            <w:r>
              <w:rPr>
                <w:sz w:val="19"/>
              </w:rPr>
              <w:t>Holdings</w:t>
            </w:r>
          </w:p>
        </w:tc>
        <w:tc>
          <w:tcPr>
            <w:tcW w:type="dxa" w:w="3024"/>
            <w:shd w:val="clear" w:color="auto" w:fill="E8EEF8"/>
          </w:tcPr>
          <w:p>
            <w:r>
              <w:rPr>
                <w:sz w:val="19"/>
              </w:rPr>
              <w:t>ClassStatusChangedEvent</w:t>
            </w:r>
          </w:p>
        </w:tc>
        <w:tc>
          <w:tcPr>
            <w:tcW w:type="dxa" w:w="3024"/>
            <w:shd w:val="clear" w:color="auto" w:fill="E8EEF8"/>
          </w:tcPr>
          <w:p>
            <w:r>
              <w:rPr>
                <w:sz w:val="19"/>
              </w:rPr>
              <w:t>Holdings freezes/unfreezes all class holdings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Pre-check: KYC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Transaction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CRM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ICrmReader (sync)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Validates KYC = Approved before transaction creation</w:t>
            </w:r>
          </w:p>
        </w:tc>
      </w:tr>
      <w:tr>
        <w:tc>
          <w:tcPr>
            <w:tcW w:type="dxa" w:w="2304"/>
            <w:shd w:val="clear" w:color="auto" w:fill="E8EEF8"/>
          </w:tcPr>
          <w:p>
            <w:r>
              <w:rPr>
                <w:sz w:val="19"/>
              </w:rPr>
              <w:t>Pre-check: class open</w:t>
            </w:r>
          </w:p>
        </w:tc>
        <w:tc>
          <w:tcPr>
            <w:tcW w:type="dxa" w:w="1584"/>
            <w:shd w:val="clear" w:color="auto" w:fill="E8EEF8"/>
          </w:tcPr>
          <w:p>
            <w:r>
              <w:rPr>
                <w:sz w:val="19"/>
              </w:rPr>
              <w:t>Transaction</w:t>
            </w:r>
          </w:p>
        </w:tc>
        <w:tc>
          <w:tcPr>
            <w:tcW w:type="dxa" w:w="1584"/>
            <w:shd w:val="clear" w:color="auto" w:fill="E8EEF8"/>
          </w:tcPr>
          <w:p>
            <w:r>
              <w:rPr>
                <w:sz w:val="19"/>
              </w:rPr>
              <w:t>Registry</w:t>
            </w:r>
          </w:p>
        </w:tc>
        <w:tc>
          <w:tcPr>
            <w:tcW w:type="dxa" w:w="3024"/>
            <w:shd w:val="clear" w:color="auto" w:fill="E8EEF8"/>
          </w:tcPr>
          <w:p>
            <w:r>
              <w:rPr>
                <w:sz w:val="19"/>
              </w:rPr>
              <w:t>IRegistryReader (sync)</w:t>
            </w:r>
          </w:p>
        </w:tc>
        <w:tc>
          <w:tcPr>
            <w:tcW w:type="dxa" w:w="3024"/>
            <w:shd w:val="clear" w:color="auto" w:fill="E8EEF8"/>
          </w:tcPr>
          <w:p>
            <w:r>
              <w:rPr>
                <w:sz w:val="19"/>
              </w:rPr>
              <w:t>Validates ClassStatus = Active before creation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9"/>
              </w:rPr>
              <w:t>Fund status changed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Registry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Holdings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FundStatusChangedEvent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Holdings can cascade freeze across all fund classes</w:t>
            </w:r>
          </w:p>
        </w:tc>
      </w:tr>
    </w:tbl>
    <w:p>
      <w:pPr>
        <w:spacing w:after="80"/>
      </w:pPr>
      <w:r>
        <w:rPr>
          <w:b w:val="0"/>
          <w:i/>
          <w:sz w:val="21"/>
        </w:rPr>
        <w:br/>
        <w:t>Constraint: no FK constraints cross module schemas. Referential integrity is enforced at the Application boundary.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8.  Mapping to Taurus Schema</w:t>
      </w:r>
    </w:p>
    <w:p>
      <w:pPr>
        <w:spacing w:after="80"/>
      </w:pPr>
      <w:r>
        <w:rPr>
          <w:b w:val="0"/>
          <w:i w:val="0"/>
          <w:sz w:val="21"/>
        </w:rPr>
        <w:t>The IFX Fund Registry is designed to align with the Taurus investment management data model used in Australian and international fund administration.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Taurus Concept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IFX Entity / Field</w:t>
            </w:r>
          </w:p>
        </w:tc>
        <w:tc>
          <w:tcPr>
            <w:tcW w:type="dxa" w:w="388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Scheme / Product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Product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Scheme-level regulatory entity; holds ARSN, APIR, ISIN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Sub-fund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Fund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Investment vehicle; optional ProductId FK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Share Class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FundClass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Investor unit series; fee rates, NAV frequency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ARSN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Product.RegulatorSchemeNumber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Australian Registered Scheme Number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APIR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Product.ApirCode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9-character Australian product identifier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ISIN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Product.Isin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ISO 6166 12-character international identifier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PDS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Product.PdsReference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Product Disclosure Statement reference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Issuer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Product.IssuerName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Responsible entity / issuer name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Fund Manager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Party (FundManager role)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Party with FundManager PartyFunctionalRole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Distributor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Party (Distributor role)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Party with Distributor PartyFunctionalRole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Custodian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Party (Custodian role)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Party with Custodian PartyFunctionalRole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Investor / Client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Investor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KYC, AML, FATCA/CRS compliance profile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Account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InvestmentAccount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Multi-party ownership; unit of investment activity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Unit balance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Holding.Units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Running decimal balance per (Account, Class)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Transaction (Subscription)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State: Pending → Processed → Settled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Redemption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Transaction (Redemption)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State machine same as above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NAV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Transaction.NAVPrice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Set at Process(); drives unit calculation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ProductType classification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ProductType enum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ManagedFund | ETF | Superannuation | IDPS | LIT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19"/>
              </w:rPr>
              <w:t>FundType classification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FundType enum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9"/>
              </w:rPr>
              <w:t>UCITS | AIF | Hedge | ETF | PrivateEquity</w:t>
            </w:r>
          </w:p>
        </w:tc>
      </w:tr>
      <w:tr>
        <w:tc>
          <w:tcPr>
            <w:tcW w:type="dxa" w:w="2736"/>
            <w:shd w:val="clear" w:color="auto" w:fill="E8EEF8"/>
          </w:tcPr>
          <w:p>
            <w:r>
              <w:rPr>
                <w:sz w:val="19"/>
              </w:rPr>
              <w:t>Class lifecycle</w:t>
            </w:r>
          </w:p>
        </w:tc>
        <w:tc>
          <w:tcPr>
            <w:tcW w:type="dxa" w:w="3168"/>
            <w:shd w:val="clear" w:color="auto" w:fill="E8EEF8"/>
          </w:tcPr>
          <w:p>
            <w:r>
              <w:rPr>
                <w:sz w:val="19"/>
              </w:rPr>
              <w:t>ClassStatus enum</w:t>
            </w:r>
          </w:p>
        </w:tc>
        <w:tc>
          <w:tcPr>
            <w:tcW w:type="dxa" w:w="3888"/>
            <w:shd w:val="clear" w:color="auto" w:fill="E8EEF8"/>
          </w:tcPr>
          <w:p>
            <w:r>
              <w:rPr>
                <w:sz w:val="19"/>
              </w:rPr>
              <w:t>Active | SoftClosed | Closed | Liquidating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F3864"/>
          <w:sz w:val="40"/>
        </w:rPr>
        <w:t>9.  Appendix — Enum Reference</w:t>
      </w:r>
    </w:p>
    <w:p>
      <w:pPr>
        <w:spacing w:before="160" w:after="80"/>
      </w:pPr>
      <w:r>
        <w:rPr>
          <w:b/>
          <w:sz w:val="26"/>
        </w:rPr>
        <w:t>ProductType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ManagedFund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Registered managed investment scheme (ASIC)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ETF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Exchange-Traded Fund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Superannuation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Superannuation fund (APRA-regulated)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IDPS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Investor Directed Portfolio Service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LIT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Listed Investment Trust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99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Other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Other product types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ProductStatus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Scheme is open and operational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Closed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Scheme closed to new investment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Suspended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Scheme temporarily suspended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FundType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UCITS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Undertakings for Collective Investment in Transferable Securities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AIF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Alternative Investment Fund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Hedge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Hedge fund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ETF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Exchange-Traded Fund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PrivateEquity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Private equity fund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Other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Other vehicle types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FundStatus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Fund is open and operational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Closed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Fund is closed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Liquidating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Fund is in wind-down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ClassStatus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Open for new subscriptions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SoftClosed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Closed to new investors; open to existing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Closed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Class is closed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Liquidating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Class is in wind-down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NavFrequency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Daily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NAV calculated daily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Weekly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NAV calculated weekly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Monthly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NAV calculated monthly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Quarterly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NAV calculated quarterly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PartyLegalStructure / InvestorLegalStructure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Individual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Natural person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Incorporated company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Trust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Trust entity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SuperFund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Superannuation fund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PartyFunctionalRole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FundManager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Responsible entity / fund manager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Distributor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Distribution entity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Custodian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Asset custodian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TransferAgent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Unit registry / transfer agent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AdvisoryFirm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Advisory firm (licensee)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AdvisoryBranch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Branch of advisory firm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AdvisorRep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Individual advisor representative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Trustee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Trustee of a trust / super fund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KycStatus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Not yet reviewed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Approved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KYC passed; investor can transact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KYC rejected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Expired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Approval lapsed; re-review required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AmlStatus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NotChecked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AML not yet performed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Clear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No AML flags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Review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Flags found; under review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Blocked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Investor blocked from transacting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TransactionType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Subscription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Buy units in a class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Redemption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Sell units from a class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Transfer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Move units between classes in same fund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Switch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Move units between different funds/classes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TransactionStatus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Instruction received; awaiting NAV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Processing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Being processed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Processed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NAV applied; units calculated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Settled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Settlement complete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Cancelled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Cancelled before processing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Failed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Processing failed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HoldingStatus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Holding is active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Frozen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Frozen by class/fund closure event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Closed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Units reached 0 after full redemption</w:t>
            </w:r>
          </w:p>
        </w:tc>
      </w:tr>
    </w:tbl>
    <w:p/>
    <w:p>
      <w:pPr>
        <w:spacing w:before="160" w:after="80"/>
      </w:pPr>
      <w:r>
        <w:rPr>
          <w:b/>
          <w:sz w:val="26"/>
        </w:rPr>
        <w:t>InvestmentAccountType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4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33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Individual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Single natural person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Joint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Multiple natural persons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Trust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Account held in trust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Corporate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Company account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SuperannuationFund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Super / SMSF account</w:t>
            </w:r>
          </w:p>
        </w:tc>
      </w:tr>
      <w:tr>
        <w:tc>
          <w:tcPr>
            <w:tcW w:type="dxa" w:w="1008"/>
            <w:shd w:val="clear" w:color="auto" w:fill="E8EEF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48"/>
            <w:shd w:val="clear" w:color="auto" w:fill="E8EEF8"/>
          </w:tcPr>
          <w:p>
            <w:r>
              <w:rPr>
                <w:sz w:val="19"/>
              </w:rPr>
              <w:t>Partnership</w:t>
            </w:r>
          </w:p>
        </w:tc>
        <w:tc>
          <w:tcPr>
            <w:tcW w:type="dxa" w:w="6336"/>
            <w:shd w:val="clear" w:color="auto" w:fill="E8EEF8"/>
          </w:tcPr>
          <w:p>
            <w:r>
              <w:rPr>
                <w:sz w:val="19"/>
              </w:rPr>
              <w:t>Partnership account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Other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Other account types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