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IFX Authorization Architecture</w:t>
      </w:r>
    </w:p>
    <w:p>
      <w:pPr>
        <w:jc w:val="center"/>
      </w:pPr>
      <w:r>
        <w:rPr>
          <w:i/>
        </w:rPr>
        <w:t>Technical Reference — v2 (Template-Based ABAC Update)</w:t>
      </w:r>
    </w:p>
    <w:p>
      <w:r>
        <w:t>Updated: March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Overview</w:t>
      </w:r>
    </w:p>
    <w:p>
      <w:r>
        <w:t>The IFX authorization system implements a two-layered security model that combines Role-Based Access Control (RBAC) for coarse-grained permission checks with Attribute-Based Access Control (ABAC) for fine-grained, resource-level decisions. All fine-grained decisions are delegated to Open Policy Agent (OPA), which acts as the external policy decision point.</w:t>
      </w:r>
    </w:p>
    <w:p>
      <w:r>
        <w:t>Version 2 of this architecture introduces a Template-Based ABAC engine that allows developers to define reusable authorization conditions in C# using a structured Left / Operator / Right model, eliminating the need to write a new Rego policy file for every resource type.</w:t>
      </w:r>
    </w:p>
    <w:p>
      <w:pPr>
        <w:pStyle w:val="Heading2"/>
      </w:pPr>
      <w:r>
        <w:rPr>
          <w:color w:val="2E74B5"/>
        </w:rPr>
        <w:t>1.1 What Changed in v2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Per-resource Rego files</w:t>
            </w:r>
          </w:p>
        </w:tc>
        <w:tc>
          <w:tcPr>
            <w:tcW w:type="dxa" w:w="4320"/>
          </w:tcPr>
          <w:p>
            <w:r>
              <w:t>Still supported; untouched for existing resources</w:t>
            </w:r>
          </w:p>
        </w:tc>
      </w:tr>
      <w:tr>
        <w:tc>
          <w:tcPr>
            <w:tcW w:type="dxa" w:w="4320"/>
          </w:tcPr>
          <w:p>
            <w:r>
              <w:t>New resource types</w:t>
            </w:r>
          </w:p>
        </w:tc>
        <w:tc>
          <w:tcPr>
            <w:tcW w:type="dxa" w:w="4320"/>
          </w:tcPr>
          <w:p>
            <w:r>
              <w:t>Use template-based conditions — no new .rego files needed</w:t>
            </w:r>
          </w:p>
        </w:tc>
      </w:tr>
      <w:tr>
        <w:tc>
          <w:tcPr>
            <w:tcW w:type="dxa" w:w="4320"/>
          </w:tcPr>
          <w:p>
            <w:r>
              <w:t>Condition definition</w:t>
            </w:r>
          </w:p>
        </w:tc>
        <w:tc>
          <w:tcPr>
            <w:tcW w:type="dxa" w:w="4320"/>
          </w:tcPr>
          <w:p>
            <w:r>
              <w:t>C# ConditionTemplate (Left/Op/Right) instead of hand-written Rego</w:t>
            </w:r>
          </w:p>
        </w:tc>
      </w:tr>
      <w:tr>
        <w:tc>
          <w:tcPr>
            <w:tcW w:type="dxa" w:w="4320"/>
          </w:tcPr>
          <w:p>
            <w:r>
              <w:t>OPA policy for templates</w:t>
            </w:r>
          </w:p>
        </w:tc>
        <w:tc>
          <w:tcPr>
            <w:tcW w:type="dxa" w:w="4320"/>
          </w:tcPr>
          <w:p>
            <w:r>
              <w:t>Single generic authz/common/abac_eval.rego evaluates all templates</w:t>
            </w:r>
          </w:p>
        </w:tc>
      </w:tr>
      <w:tr>
        <w:tc>
          <w:tcPr>
            <w:tcW w:type="dxa" w:w="4320"/>
          </w:tcPr>
          <w:p>
            <w:r>
              <w:t>New service method</w:t>
            </w:r>
          </w:p>
        </w:tc>
        <w:tc>
          <w:tcPr>
            <w:tcW w:type="dxa" w:w="4320"/>
          </w:tcPr>
          <w:p>
            <w:r>
              <w:t>IResourceAuthorizationService.AuthorizeWithPolicyAsync(...)</w:t>
            </w:r>
          </w:p>
        </w:tc>
      </w:tr>
      <w:tr>
        <w:tc>
          <w:tcPr>
            <w:tcW w:type="dxa" w:w="4320"/>
          </w:tcPr>
          <w:p>
            <w:r>
              <w:t>New DI registrations</w:t>
            </w:r>
          </w:p>
        </w:tc>
        <w:tc>
          <w:tcPr>
            <w:tcW w:type="dxa" w:w="4320"/>
          </w:tcPr>
          <w:p>
            <w:r>
              <w:t>IAbacTemplateRegistry (singleton) + IAbacPolicyEngine (scoped)</w:t>
            </w:r>
          </w:p>
        </w:tc>
      </w:tr>
    </w:tbl>
    <w:p/>
    <w:p>
      <w:pPr>
        <w:pStyle w:val="Heading1"/>
      </w:pPr>
      <w:r>
        <w:rPr>
          <w:color w:val="1F497D"/>
        </w:rPr>
        <w:t>2. Role-Based Access Control (RBAC)</w:t>
      </w:r>
    </w:p>
    <w:p>
      <w:r>
        <w:t>RBAC provides the coarse-grained authorization layer. Permissions are organized into Roles, and Roles can be grouped into RoleGroups. Every Role and RoleGroup is scoped to a Tenant, ensuring strict multi-tenant isolation.</w:t>
      </w:r>
    </w:p>
    <w:p>
      <w:pPr>
        <w:pStyle w:val="Heading2"/>
      </w:pPr>
      <w:r>
        <w:rPr>
          <w:color w:val="2E74B5"/>
        </w:rPr>
        <w:t>2.1 Hierarchy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User → Roles → Permissions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User → RoleGroups → Roles → Permissions</w:t>
      </w:r>
    </w:p>
    <w:p>
      <w:r>
        <w:t>Permission names follow dot-notation: users.read, roles.manage, etc.</w:t>
      </w:r>
    </w:p>
    <w:p>
      <w:pPr>
        <w:pStyle w:val="Heading2"/>
      </w:pPr>
      <w:r>
        <w:rPr>
          <w:color w:val="2E74B5"/>
        </w:rPr>
        <w:t>2.2 How RBAC is evaluated</w:t>
      </w:r>
    </w:p>
    <w:p>
      <w:r>
        <w:t>When AuthorizeAsync is called with a non-null requiredPermission, the IPermissionChecker.HasPermissionAsync method flattens the user's roles and role groups (tenant-scoped) into a deduplicated set of permission names and checks for membership. If the check fails, a ForbiddenException (HTTP 403) is raised immediately — the OPA evaluation is skipped.</w:t>
      </w:r>
    </w:p>
    <w:p>
      <w:pPr>
        <w:pStyle w:val="Heading1"/>
      </w:pPr>
      <w:r>
        <w:rPr>
          <w:color w:val="1F497D"/>
        </w:rPr>
        <w:t>3. ABAC + OPA — Resource-Specific Approach (v1)</w:t>
      </w:r>
    </w:p>
    <w:p>
      <w:r>
        <w:t>The original approach (still in use for existing resources such as user profiles and roles) requires a dedicated Rego policy file per resource type. The Application layer calls AuthorizeAsync with the resource-specific policy path.</w:t>
      </w:r>
    </w:p>
    <w:p>
      <w:pPr>
        <w:pStyle w:val="Heading2"/>
      </w:pPr>
      <w:r>
        <w:rPr>
          <w:color w:val="2E74B5"/>
        </w:rPr>
        <w:t>3.1 OPA Input Envelope</w:t>
      </w:r>
    </w:p>
    <w:p>
      <w:r>
        <w:t>All OPA evaluations share the same canonical JSON input structure: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{</w:t>
        <w:br/>
        <w:t xml:space="preserve">  "subject":     { "id", "tenant_id", "departments", "roles", "permissions", "mfa" },</w:t>
        <w:br/>
        <w:t xml:space="preserve">  "resource":    { "type", "id", "tenant_id", ... resource-specific fields },</w:t>
        <w:br/>
        <w:t xml:space="preserve">  "action":      "read" | "edit" | "delete" | ...,</w:t>
        <w:br/>
        <w:t xml:space="preserve">  "environment": { "ip", "network", "time" }</w:t>
        <w:br/>
        <w:t>}</w:t>
      </w:r>
    </w:p>
    <w:p>
      <w:pPr>
        <w:pStyle w:val="Heading2"/>
      </w:pPr>
      <w:r>
        <w:rPr>
          <w:color w:val="2E74B5"/>
        </w:rPr>
        <w:t>3.2 Example — Read User Policy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# policies/authz/auth/read-user.rego</w:t>
        <w:br/>
        <w:t>allow if { same_tenant; input.subject.id == input.resource.id }</w:t>
        <w:br/>
        <w:t>allow if { same_tenant; "users.read" in input.subject.permissions }</w:t>
      </w:r>
    </w:p>
    <w:p>
      <w:pPr>
        <w:pStyle w:val="Heading2"/>
      </w:pPr>
      <w:r>
        <w:rPr>
          <w:color w:val="2E74B5"/>
        </w:rPr>
        <w:t>3.3 Limitation</w:t>
      </w:r>
    </w:p>
    <w:p>
      <w:r>
        <w:t>Every new resource type requires a new .rego file. Policy logic is duplicated across files (e.g. same_tenant appears in every policy). There is no way to compose reusable authorization rules from C# without writing Rego.</w:t>
      </w:r>
    </w:p>
    <w:p>
      <w:pPr>
        <w:pStyle w:val="Heading1"/>
      </w:pPr>
      <w:r>
        <w:rPr>
          <w:color w:val="1F497D"/>
        </w:rPr>
        <w:t>4. Template-Based ABAC (v2 — New)</w:t>
      </w:r>
    </w:p>
    <w:p>
      <w:r>
        <w:t>The template-based engine solves the v1 limitation by letting developers define authorization conditions entirely in C# using a structured data model. A single generic Rego policy (authz/common/abac_eval) evaluates whatever conditions are passed in the OPA input — no new Rego files are needed for new resource types.</w:t>
      </w:r>
    </w:p>
    <w:p>
      <w:pPr>
        <w:pStyle w:val="Heading2"/>
      </w:pPr>
      <w:r>
        <w:rPr>
          <w:color w:val="2E74B5"/>
        </w:rPr>
        <w:t>4.1 The Condition Model</w:t>
      </w:r>
    </w:p>
    <w:p>
      <w:r>
        <w:t>A condition has three parts:</w:t>
      </w:r>
    </w:p>
    <w:p>
      <w:r>
        <w:rPr>
          <w:b/>
        </w:rPr>
        <w:t xml:space="preserve">Left  </w:t>
      </w:r>
      <w:r>
        <w:t>— dot-path into the OPA input (e.g. "subject.departments", "resource.tenant_id")</w:t>
      </w:r>
    </w:p>
    <w:p>
      <w:r>
        <w:rPr>
          <w:b/>
        </w:rPr>
        <w:t xml:space="preserve">Operator  </w:t>
      </w:r>
      <w:r>
        <w:t>— how Left and Right are compared</w:t>
      </w:r>
    </w:p>
    <w:p>
      <w:r>
        <w:rPr>
          <w:b/>
        </w:rPr>
        <w:t xml:space="preserve">Right  </w:t>
      </w:r>
      <w:r>
        <w:t>— the value to compare against (Literal, FieldRef, or UserInput)</w:t>
      </w:r>
    </w:p>
    <w:p>
      <w:pPr>
        <w:pStyle w:val="Heading3"/>
      </w:pPr>
      <w:r>
        <w:rPr>
          <w:color w:val="404040"/>
        </w:rPr>
        <w:t>Operators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Equals</w:t>
            </w:r>
          </w:p>
        </w:tc>
        <w:tc>
          <w:tcPr>
            <w:tcW w:type="dxa" w:w="4320"/>
          </w:tcPr>
          <w:p>
            <w:r>
              <w:t>Left == Right (scalar)</w:t>
            </w:r>
          </w:p>
        </w:tc>
      </w:tr>
      <w:tr>
        <w:tc>
          <w:tcPr>
            <w:tcW w:type="dxa" w:w="4320"/>
          </w:tcPr>
          <w:p>
            <w:r>
              <w:t>NotEquals</w:t>
            </w:r>
          </w:p>
        </w:tc>
        <w:tc>
          <w:tcPr>
            <w:tcW w:type="dxa" w:w="4320"/>
          </w:tcPr>
          <w:p>
            <w:r>
              <w:t>Left != Right (scalar)</w:t>
            </w:r>
          </w:p>
        </w:tc>
      </w:tr>
      <w:tr>
        <w:tc>
          <w:tcPr>
            <w:tcW w:type="dxa" w:w="4320"/>
          </w:tcPr>
          <w:p>
            <w:r>
              <w:t>In</w:t>
            </w:r>
          </w:p>
        </w:tc>
        <w:tc>
          <w:tcPr>
            <w:tcW w:type="dxa" w:w="4320"/>
          </w:tcPr>
          <w:p>
            <w:r>
              <w:t>Scalar Left is a member of collection Right</w:t>
            </w:r>
          </w:p>
        </w:tc>
      </w:tr>
      <w:tr>
        <w:tc>
          <w:tcPr>
            <w:tcW w:type="dxa" w:w="4320"/>
          </w:tcPr>
          <w:p>
            <w:r>
              <w:t>NotIn</w:t>
            </w:r>
          </w:p>
        </w:tc>
        <w:tc>
          <w:tcPr>
            <w:tcW w:type="dxa" w:w="4320"/>
          </w:tcPr>
          <w:p>
            <w:r>
              <w:t>Scalar Left is NOT a member of collection Right</w:t>
            </w:r>
          </w:p>
        </w:tc>
      </w:tr>
      <w:tr>
        <w:tc>
          <w:tcPr>
            <w:tcW w:type="dxa" w:w="4320"/>
          </w:tcPr>
          <w:p>
            <w:r>
              <w:t>Contains</w:t>
            </w:r>
          </w:p>
        </w:tc>
        <w:tc>
          <w:tcPr>
            <w:tcW w:type="dxa" w:w="4320"/>
          </w:tcPr>
          <w:p>
            <w:r>
              <w:t>Collection Left contains scalar Right</w:t>
            </w:r>
          </w:p>
        </w:tc>
      </w:tr>
      <w:tr>
        <w:tc>
          <w:tcPr>
            <w:tcW w:type="dxa" w:w="4320"/>
          </w:tcPr>
          <w:p>
            <w:r>
              <w:t>Intersects</w:t>
            </w:r>
          </w:p>
        </w:tc>
        <w:tc>
          <w:tcPr>
            <w:tcW w:type="dxa" w:w="4320"/>
          </w:tcPr>
          <w:p>
            <w:r>
              <w:t>Collections Left and Right share at least one element</w:t>
            </w:r>
          </w:p>
        </w:tc>
      </w:tr>
    </w:tbl>
    <w:p/>
    <w:p>
      <w:pPr>
        <w:pStyle w:val="Heading3"/>
      </w:pPr>
      <w:r>
        <w:rPr>
          <w:color w:val="404040"/>
        </w:rPr>
        <w:t>Right-hand Value Types (ValueRefType)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Literal</w:t>
            </w:r>
          </w:p>
        </w:tc>
        <w:tc>
          <w:tcPr>
            <w:tcW w:type="dxa" w:w="4320"/>
          </w:tcPr>
          <w:p>
            <w:r>
              <w:t>A fixed string baked into the template definition</w:t>
            </w:r>
          </w:p>
        </w:tc>
      </w:tr>
      <w:tr>
        <w:tc>
          <w:tcPr>
            <w:tcW w:type="dxa" w:w="4320"/>
          </w:tcPr>
          <w:p>
            <w:r>
              <w:t>FieldRef</w:t>
            </w:r>
          </w:p>
        </w:tc>
        <w:tc>
          <w:tcPr>
            <w:tcW w:type="dxa" w:w="4320"/>
          </w:tcPr>
          <w:p>
            <w:r>
              <w:t>A dot-path resolved against the OPA input at evaluation time</w:t>
            </w:r>
          </w:p>
        </w:tc>
      </w:tr>
      <w:tr>
        <w:tc>
          <w:tcPr>
            <w:tcW w:type="dxa" w:w="4320"/>
          </w:tcPr>
          <w:p>
            <w:r>
              <w:t>UserInput</w:t>
            </w:r>
          </w:p>
        </w:tc>
        <w:tc>
          <w:tcPr>
            <w:tcW w:type="dxa" w:w="4320"/>
          </w:tcPr>
          <w:p>
            <w:r>
              <w:t>A key looked up in the caller-supplied parameters dictionary at runtime</w:t>
            </w:r>
          </w:p>
        </w:tc>
      </w:tr>
    </w:tbl>
    <w:p/>
    <w:p>
      <w:r>
        <w:t>UserInput references are always resolved to Literal or FieldRef by AbacPolicyEngine before sending to OPA. The type "UserInput" never appears in serialized JSON.</w:t>
      </w:r>
    </w:p>
    <w:p>
      <w:pPr>
        <w:pStyle w:val="Heading2"/>
      </w:pPr>
      <w:r>
        <w:rPr>
          <w:color w:val="2E74B5"/>
        </w:rPr>
        <w:t>4.2 ConditionTemplate</w:t>
      </w:r>
    </w:p>
    <w:p>
      <w:r>
        <w:t>A ConditionTemplate is a named, reusable blueprint registered in the IAbacTemplateRegistry: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new ConditionTemplate {</w:t>
        <w:br/>
        <w:t xml:space="preserve">    Name     = "SameDepartment",</w:t>
        <w:br/>
        <w:t xml:space="preserve">    Left     = "subject.departments",</w:t>
        <w:br/>
        <w:t xml:space="preserve">    Operator = ConditionOperator.Intersects,</w:t>
        <w:br/>
        <w:t xml:space="preserve">    Right    = ConditionValueRef.FieldRef("resource.departments")</w:t>
        <w:br/>
        <w:t>}</w:t>
      </w:r>
    </w:p>
    <w:p>
      <w:pPr>
        <w:pStyle w:val="Heading2"/>
      </w:pPr>
      <w:r>
        <w:rPr>
          <w:color w:val="2E74B5"/>
        </w:rPr>
        <w:t>4.3 Built-In Templates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SameDepartment</w:t>
            </w:r>
          </w:p>
        </w:tc>
        <w:tc>
          <w:tcPr>
            <w:tcW w:type="dxa" w:w="4320"/>
          </w:tcPr>
          <w:p>
            <w:r>
              <w:t>subject.departments INTERSECTS resource.departments</w:t>
            </w:r>
          </w:p>
        </w:tc>
      </w:tr>
      <w:tr>
        <w:tc>
          <w:tcPr>
            <w:tcW w:type="dxa" w:w="4320"/>
          </w:tcPr>
          <w:p>
            <w:r>
              <w:t>CreatedByMe</w:t>
            </w:r>
          </w:p>
        </w:tc>
        <w:tc>
          <w:tcPr>
            <w:tcW w:type="dxa" w:w="4320"/>
          </w:tcPr>
          <w:p>
            <w:r>
              <w:t>subject.id EQUALS resource.owner_id</w:t>
            </w:r>
          </w:p>
        </w:tc>
      </w:tr>
      <w:tr>
        <w:tc>
          <w:tcPr>
            <w:tcW w:type="dxa" w:w="4320"/>
          </w:tcPr>
          <w:p>
            <w:r>
              <w:t>SameTenant</w:t>
            </w:r>
          </w:p>
        </w:tc>
        <w:tc>
          <w:tcPr>
            <w:tcW w:type="dxa" w:w="4320"/>
          </w:tcPr>
          <w:p>
            <w:r>
              <w:t>subject.tenant_id EQUALS resource.tenant_id</w:t>
            </w:r>
          </w:p>
        </w:tc>
      </w:tr>
    </w:tbl>
    <w:p/>
    <w:p>
      <w:r>
        <w:t>These are registered automatically at startup via BuiltInTemplates.Register(registry). Modules can register additional templates by calling IAbacTemplateRegistry.Register().</w:t>
      </w:r>
    </w:p>
    <w:p>
      <w:pPr>
        <w:pStyle w:val="Heading2"/>
      </w:pPr>
      <w:r>
        <w:rPr>
          <w:color w:val="2E74B5"/>
        </w:rPr>
        <w:t>4.4 AbacPolicy</w:t>
      </w:r>
    </w:p>
    <w:p>
      <w:r>
        <w:t>An AbacPolicy is a list of AbacConditions for a specific (resourceType, action) pair. ALL conditions must pass for the policy to allow the action. An empty conditions list results in deny — explicit allow requires at least one condition.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var policy = new AbacPolicy {</w:t>
        <w:br/>
        <w:t xml:space="preserve">    ResourceType = "report",</w:t>
        <w:br/>
        <w:t xml:space="preserve">    Action = "read",</w:t>
        <w:br/>
        <w:t xml:space="preserve">    Conditions = [</w:t>
        <w:br/>
        <w:t xml:space="preserve">        new AbacCondition { Template = BuiltInTemplates.SameTenant },</w:t>
        <w:br/>
        <w:t xml:space="preserve">        new AbacCondition { Template = BuiltInTemplates.SameDepartment }</w:t>
        <w:br/>
        <w:t xml:space="preserve">    ]</w:t>
        <w:br/>
        <w:t>};</w:t>
      </w:r>
    </w:p>
    <w:p>
      <w:pPr>
        <w:pStyle w:val="Heading2"/>
      </w:pPr>
      <w:r>
        <w:rPr>
          <w:color w:val="2E74B5"/>
        </w:rPr>
        <w:t>4.5 AbacPolicyEngine</w:t>
      </w:r>
    </w:p>
    <w:p>
      <w:r>
        <w:t>The engine converts an AbacPolicy into a list of ResolvedConditions:</w:t>
      </w:r>
    </w:p>
    <w:p>
      <w:pPr>
        <w:pStyle w:val="ListBullet"/>
        <w:ind w:left="360"/>
      </w:pPr>
      <w:r>
        <w:t>Iterates each AbacCondition in the policy</w:t>
      </w:r>
    </w:p>
    <w:p>
      <w:pPr>
        <w:pStyle w:val="ListBullet"/>
        <w:ind w:left="360"/>
      </w:pPr>
      <w:r>
        <w:t>For Literal and FieldRef right-hand sides: passed through unchanged</w:t>
      </w:r>
    </w:p>
    <w:p>
      <w:pPr>
        <w:pStyle w:val="ListBullet"/>
        <w:ind w:left="360"/>
      </w:pPr>
      <w:r>
        <w:t>For UserInput: looks up the param key in the caller-supplied parameters dictionary; throws ArgumentException if missing</w:t>
      </w:r>
    </w:p>
    <w:p>
      <w:pPr>
        <w:pStyle w:val="ListBullet"/>
        <w:ind w:left="360"/>
      </w:pPr>
      <w:r>
        <w:t>Outputs a ResolvedCondition list with snake_case operator strings (e.g. "intersects")</w:t>
      </w:r>
    </w:p>
    <w:p>
      <w:pPr>
        <w:pStyle w:val="Heading2"/>
      </w:pPr>
      <w:r>
        <w:rPr>
          <w:color w:val="2E74B5"/>
        </w:rPr>
        <w:t>4.6 AuthorizeWithPolicyAsync — New Service Method</w:t>
      </w:r>
    </w:p>
    <w:p>
      <w:r>
        <w:t>IResourceAuthorizationService gains a second method alongside the existing AuthorizeAsync: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Task AuthorizeWithPolicyAsync&lt;TResource&gt;(</w:t>
        <w:br/>
        <w:t xml:space="preserve">    AbacPolicy policy,</w:t>
        <w:br/>
        <w:t xml:space="preserve">    TResource resourceAttributes,</w:t>
        <w:br/>
        <w:t xml:space="preserve">    IDictionary&lt;string, object&gt;? parameters = null,</w:t>
        <w:br/>
        <w:t xml:space="preserve">    CancellationToken ct = default)</w:t>
        <w:br/>
        <w:t xml:space="preserve">    where TResource : OpaResourceAttributesBase;</w:t>
      </w:r>
    </w:p>
    <w:p>
      <w:r>
        <w:t>Execution flow:</w:t>
      </w:r>
    </w:p>
    <w:p>
      <w:pPr>
        <w:pStyle w:val="ListBullet"/>
        <w:ind w:left="360"/>
      </w:pPr>
      <w:r>
        <w:t>1. AbacPolicyEngine.Resolve(policy, parameters) — resolves all conditions</w:t>
      </w:r>
    </w:p>
    <w:p>
      <w:pPr>
        <w:pStyle w:val="ListBullet"/>
        <w:ind w:left="360"/>
      </w:pPr>
      <w:r>
        <w:t>2. Builds OpaAuthorizationEnvelope with a Conditions field populated</w:t>
      </w:r>
    </w:p>
    <w:p>
      <w:pPr>
        <w:pStyle w:val="ListBullet"/>
        <w:ind w:left="360"/>
      </w:pPr>
      <w:r>
        <w:t>3. Calls OPA at path authz/common/abac_eval</w:t>
      </w:r>
    </w:p>
    <w:p>
      <w:pPr>
        <w:pStyle w:val="ListBullet"/>
        <w:ind w:left="360"/>
      </w:pPr>
      <w:r>
        <w:t>4. Throws ForbiddenException on deny</w:t>
      </w:r>
    </w:p>
    <w:p>
      <w:r>
        <w:t>RBAC gate is skipped. If RBAC is also required, call AuthorizeAsync first, then AuthorizeWithPolicyAsync.</w:t>
      </w:r>
    </w:p>
    <w:p>
      <w:pPr>
        <w:pStyle w:val="Heading2"/>
      </w:pPr>
      <w:r>
        <w:rPr>
          <w:color w:val="2E74B5"/>
        </w:rPr>
        <w:t>4.7 Updated OPA Input Envelope</w:t>
      </w:r>
    </w:p>
    <w:p>
      <w:r>
        <w:t>The OpaAuthorizationEnvelope gains an optional Conditions field. When null (existing callers), the field is omitted from JSON and existing Rego policies are completely unaffected.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{</w:t>
        <w:br/>
        <w:t xml:space="preserve">  "subject":    { ... },</w:t>
        <w:br/>
        <w:t xml:space="preserve">  "resource":   { ... },</w:t>
        <w:br/>
        <w:t xml:space="preserve">  "action":     "read",</w:t>
        <w:br/>
        <w:t xml:space="preserve">  "environment":{ ... },</w:t>
        <w:br/>
        <w:t xml:space="preserve">  "conditions": [                      ← new; only present for template-based calls</w:t>
        <w:br/>
        <w:t xml:space="preserve">    {</w:t>
        <w:br/>
        <w:t xml:space="preserve">      "left":       "subject.departments",</w:t>
        <w:br/>
        <w:t xml:space="preserve">      "operator":   "intersects",</w:t>
        <w:br/>
        <w:t xml:space="preserve">      "right_type": "field_ref",</w:t>
        <w:br/>
        <w:t xml:space="preserve">      "right":      "resource.departments"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color w:val="2E74B5"/>
        </w:rPr>
        <w:t>4.8 Generic Rego Evaluator — authz/common/abac_eval.rego</w:t>
      </w:r>
    </w:p>
    <w:p>
      <w:r>
        <w:t>A single Rego policy evaluates any set of resolved conditions. It supports all six operators. The policy denies by default; allow requires at least one condition and all conditions must pass.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allow if {</w:t>
        <w:br/>
        <w:t xml:space="preserve">    count(input.conditions) &gt; 0</w:t>
        <w:br/>
        <w:t xml:space="preserve">    every condition in input.conditions {</w:t>
        <w:br/>
        <w:t xml:space="preserve">        condition_passes(condition)</w:t>
        <w:br/>
        <w:t xml:space="preserve">    }</w:t>
        <w:br/>
        <w:t>}</w:t>
      </w:r>
    </w:p>
    <w:p>
      <w:r>
        <w:t>The policy resolves dot-paths (e.g. "subject.departments") against input.subject and input.resource. For field_ref right-hand sides the same resolution is applied. For literal right-hand sides the value is used directly.</w:t>
      </w:r>
    </w:p>
    <w:p>
      <w:pPr>
        <w:pStyle w:val="Heading2"/>
      </w:pPr>
      <w:r>
        <w:rPr>
          <w:color w:val="2E74B5"/>
        </w:rPr>
        <w:t>4.9 Difference vs v1 Resource-Specific Approach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v1 — Resource-Specific Rego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v2 — Template-Based ABAC</w:t>
            </w:r>
          </w:p>
        </w:tc>
      </w:tr>
      <w:tr>
        <w:tc>
          <w:tcPr>
            <w:tcW w:type="dxa" w:w="4320"/>
          </w:tcPr>
          <w:p>
            <w:r>
              <w:t>One .rego file per resource type</w:t>
            </w:r>
          </w:p>
        </w:tc>
        <w:tc>
          <w:tcPr>
            <w:tcW w:type="dxa" w:w="4320"/>
          </w:tcPr>
          <w:p>
            <w:r>
              <w:t>One generic abac_eval.rego for all template-based resources</w:t>
            </w:r>
          </w:p>
        </w:tc>
      </w:tr>
      <w:tr>
        <w:tc>
          <w:tcPr>
            <w:tcW w:type="dxa" w:w="4320"/>
          </w:tcPr>
          <w:p>
            <w:r>
              <w:t>Policy logic lives in Rego</w:t>
            </w:r>
          </w:p>
        </w:tc>
        <w:tc>
          <w:tcPr>
            <w:tcW w:type="dxa" w:w="4320"/>
          </w:tcPr>
          <w:p>
            <w:r>
              <w:t>Condition structure defined in C#; Rego only evaluates operators</w:t>
            </w:r>
          </w:p>
        </w:tc>
      </w:tr>
      <w:tr>
        <w:tc>
          <w:tcPr>
            <w:tcW w:type="dxa" w:w="4320"/>
          </w:tcPr>
          <w:p>
            <w:r>
              <w:t>No C# reuse between resources</w:t>
            </w:r>
          </w:p>
        </w:tc>
        <w:tc>
          <w:tcPr>
            <w:tcW w:type="dxa" w:w="4320"/>
          </w:tcPr>
          <w:p>
            <w:r>
              <w:t>BuiltInTemplates shared across all modules</w:t>
            </w:r>
          </w:p>
        </w:tc>
      </w:tr>
      <w:tr>
        <w:tc>
          <w:tcPr>
            <w:tcW w:type="dxa" w:w="4320"/>
          </w:tcPr>
          <w:p>
            <w:r>
              <w:t>New resource = new .rego file + OPA redeploy</w:t>
            </w:r>
          </w:p>
        </w:tc>
        <w:tc>
          <w:tcPr>
            <w:tcW w:type="dxa" w:w="4320"/>
          </w:tcPr>
          <w:p>
            <w:r>
              <w:t>New resource = define AbacPolicy in C# only</w:t>
            </w:r>
          </w:p>
        </w:tc>
      </w:tr>
      <w:tr>
        <w:tc>
          <w:tcPr>
            <w:tcW w:type="dxa" w:w="4320"/>
          </w:tcPr>
          <w:p>
            <w:r>
              <w:t>Hand-written Rego per use case</w:t>
            </w:r>
          </w:p>
        </w:tc>
        <w:tc>
          <w:tcPr>
            <w:tcW w:type="dxa" w:w="4320"/>
          </w:tcPr>
          <w:p>
            <w:r>
              <w:t>Compose conditions from named templates</w:t>
            </w:r>
          </w:p>
        </w:tc>
      </w:tr>
      <w:tr>
        <w:tc>
          <w:tcPr>
            <w:tcW w:type="dxa" w:w="4320"/>
          </w:tcPr>
          <w:p>
            <w:r>
              <w:t>Condition params hardcoded in Rego</w:t>
            </w:r>
          </w:p>
        </w:tc>
        <w:tc>
          <w:tcPr>
            <w:tcW w:type="dxa" w:w="4320"/>
          </w:tcPr>
          <w:p>
            <w:r>
              <w:t>UserInput params resolved at runtime from caller dict</w:t>
            </w:r>
          </w:p>
        </w:tc>
      </w:tr>
      <w:tr>
        <w:tc>
          <w:tcPr>
            <w:tcW w:type="dxa" w:w="4320"/>
          </w:tcPr>
          <w:p>
            <w:r>
              <w:t>Existing callers use AuthorizeAsync</w:t>
            </w:r>
          </w:p>
        </w:tc>
        <w:tc>
          <w:tcPr>
            <w:tcW w:type="dxa" w:w="4320"/>
          </w:tcPr>
          <w:p>
            <w:r>
              <w:t>New callers use AuthorizeWithPolicyAsync</w:t>
            </w:r>
          </w:p>
        </w:tc>
      </w:tr>
    </w:tbl>
    <w:p/>
    <w:p>
      <w:r>
        <w:t>Both approaches coexist. Existing resources (user profile, roles) continue to use their dedicated Rego policies via AuthorizeAsync. New resources should prefer the template-based approach.</w:t>
      </w:r>
    </w:p>
    <w:p>
      <w:pPr>
        <w:pStyle w:val="Heading1"/>
      </w:pPr>
      <w:r>
        <w:rPr>
          <w:color w:val="1F497D"/>
        </w:rPr>
        <w:t>5. Full Authorization Workflow</w:t>
      </w:r>
    </w:p>
    <w:p>
      <w:pPr>
        <w:pStyle w:val="Heading2"/>
      </w:pPr>
      <w:r>
        <w:rPr>
          <w:color w:val="2E74B5"/>
        </w:rPr>
        <w:t>5.1 Path A — Resource-Specific (v1)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Request</w:t>
        <w:br/>
        <w:t xml:space="preserve">  │</w:t>
        <w:br/>
        <w:t xml:space="preserve">  ▼</w:t>
        <w:br/>
        <w:t>[1] JWT validated by ASP.NET Core middleware</w:t>
        <w:br/>
        <w:t xml:space="preserve">  │</w:t>
        <w:br/>
        <w:t xml:space="preserve">  ▼</w:t>
        <w:br/>
        <w:t>[2] Application handler loads target resource from DB</w:t>
        <w:br/>
        <w:t xml:space="preserve">  │</w:t>
        <w:br/>
        <w:t xml:space="preserve">  ▼</w:t>
        <w:br/>
        <w:t>[3] AuthorizeAsync(requiredPermission?, decisionPath, resource, action)</w:t>
        <w:br/>
        <w:t xml:space="preserve">  │</w:t>
        <w:br/>
        <w:t xml:space="preserve">  ├─[3a] requiredPermission != null?</w:t>
        <w:br/>
        <w:t xml:space="preserve">  │       → IPermissionChecker.HasPermissionAsync</w:t>
        <w:br/>
        <w:t xml:space="preserve">  │       → FAIL → ForbiddenException (403)</w:t>
        <w:br/>
        <w:t xml:space="preserve">  │</w:t>
        <w:br/>
        <w:t xml:space="preserve">  ├─[3b] Build OpaAuthorizationEnvelope (no Conditions field)</w:t>
        <w:br/>
        <w:t xml:space="preserve">  │</w:t>
        <w:br/>
        <w:t xml:space="preserve">  └─[3c] OpaClient.EvaluateAsync(decisionPath, envelope)</w:t>
        <w:br/>
        <w:t xml:space="preserve">           → resource-specific .rego policy</w:t>
        <w:br/>
        <w:t xml:space="preserve">           → DENY → ForbiddenException (403)</w:t>
        <w:br/>
        <w:t xml:space="preserve">           → ALLOW → continue</w:t>
        <w:br/>
        <w:t xml:space="preserve">  │</w:t>
        <w:br/>
        <w:t xml:space="preserve">  ▼</w:t>
        <w:br/>
        <w:t>[4] Return resource data to caller</w:t>
      </w:r>
    </w:p>
    <w:p>
      <w:pPr>
        <w:pStyle w:val="Heading2"/>
      </w:pPr>
      <w:r>
        <w:rPr>
          <w:color w:val="2E74B5"/>
        </w:rPr>
        <w:t>5.2 Path B — Template-Based (v2)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Request</w:t>
        <w:br/>
        <w:t xml:space="preserve">  │</w:t>
        <w:br/>
        <w:t xml:space="preserve">  ▼</w:t>
        <w:br/>
        <w:t>[1] JWT validated by ASP.NET Core middleware</w:t>
        <w:br/>
        <w:t xml:space="preserve">  │</w:t>
        <w:br/>
        <w:t xml:space="preserve">  ▼</w:t>
        <w:br/>
        <w:t>[2] Application handler loads target resource from DB</w:t>
        <w:br/>
        <w:t xml:space="preserve">  │</w:t>
        <w:br/>
        <w:t xml:space="preserve">  ▼</w:t>
        <w:br/>
        <w:t>[3] AuthorizeWithPolicyAsync(policy, resource, parameters?)</w:t>
        <w:br/>
        <w:t xml:space="preserve">  │</w:t>
        <w:br/>
        <w:t xml:space="preserve">  ├─[3a] AbacPolicyEngine.Resolve(policy, parameters)</w:t>
        <w:br/>
        <w:t xml:space="preserve">  │       → resolve Literal/FieldRef/UserInput → ResolvedCondition[]</w:t>
        <w:br/>
        <w:t xml:space="preserve">  │       → missing UserInput param → ArgumentException</w:t>
        <w:br/>
        <w:t xml:space="preserve">  │</w:t>
        <w:br/>
        <w:t xml:space="preserve">  ├─[3b] Build OpaAuthorizationEnvelope (Conditions populated)</w:t>
        <w:br/>
        <w:t xml:space="preserve">  │</w:t>
        <w:br/>
        <w:t xml:space="preserve">  └─[3c] OpaClient.EvaluateAsync("authz/common/abac_eval", envelope)</w:t>
        <w:br/>
        <w:t xml:space="preserve">           → generic evaluator checks all conditions</w:t>
        <w:br/>
        <w:t xml:space="preserve">           → any condition fails → DENY → ForbiddenException (403)</w:t>
        <w:br/>
        <w:t xml:space="preserve">           → all pass → ALLOW → continue</w:t>
        <w:br/>
        <w:t xml:space="preserve">  │</w:t>
        <w:br/>
        <w:t xml:space="preserve">  ▼</w:t>
        <w:br/>
        <w:t>[4] Return resource data to caller</w:t>
      </w:r>
    </w:p>
    <w:p>
      <w:pPr>
        <w:pStyle w:val="Heading1"/>
      </w:pPr>
      <w:r>
        <w:rPr>
          <w:color w:val="1F497D"/>
        </w:rPr>
        <w:t>6. IFX.BuildingBlocks.Security — Project Structure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Authorization/</w:t>
        <w:br/>
        <w:t xml:space="preserve">  Abstractions/</w:t>
        <w:br/>
        <w:t xml:space="preserve">    ICurrentUser.cs</w:t>
        <w:br/>
        <w:t xml:space="preserve">    IPermissionChecker.cs</w:t>
        <w:br/>
        <w:t xml:space="preserve">    IOpaPolicyClient.cs</w:t>
        <w:br/>
        <w:t xml:space="preserve">    IResourceAuthorizationService.cs    ← AuthorizeAsync + AuthorizeWithPolicyAsync</w:t>
        <w:br/>
        <w:t xml:space="preserve">  Models/</w:t>
        <w:br/>
        <w:t xml:space="preserve">    OpaAuthorizationEnvelope.cs         ← + optional Conditions field (v2)</w:t>
        <w:br/>
        <w:t xml:space="preserve">    OpaSubjectAttributes.cs</w:t>
        <w:br/>
        <w:t xml:space="preserve">    OpaResourceAttributesBase.cs</w:t>
        <w:br/>
        <w:t xml:space="preserve">    OpaEnvironmentAttributes.cs</w:t>
        <w:br/>
        <w:t xml:space="preserve">    OpaDecisionResponse.cs / OpaDecisionResult.cs</w:t>
        <w:br/>
        <w:t xml:space="preserve">  Opa/</w:t>
        <w:br/>
        <w:t xml:space="preserve">    OpaClient.cs                        ← HttpClient-backed, singleton</w:t>
        <w:br/>
        <w:t xml:space="preserve">    NullOpaPolicyClient.cs              ← always-allow dev stub</w:t>
        <w:br/>
        <w:t xml:space="preserve">    OpaOptions.cs</w:t>
        <w:br/>
        <w:t xml:space="preserve">  Abac/                                 ← NEW in v2</w:t>
        <w:br/>
        <w:t xml:space="preserve">    Templates/</w:t>
        <w:br/>
        <w:t xml:space="preserve">      ValueRefType.cs</w:t>
        <w:br/>
        <w:t xml:space="preserve">      ConditionOperator.cs</w:t>
        <w:br/>
        <w:t xml:space="preserve">      ConditionValueRef.cs</w:t>
        <w:br/>
        <w:t xml:space="preserve">      ConditionTemplate.cs</w:t>
        <w:br/>
        <w:t xml:space="preserve">    Policies/</w:t>
        <w:br/>
        <w:t xml:space="preserve">      AbacCondition.cs</w:t>
        <w:br/>
        <w:t xml:space="preserve">      AbacPolicy.cs</w:t>
        <w:br/>
        <w:t xml:space="preserve">      ResolvedCondition.cs</w:t>
        <w:br/>
        <w:t xml:space="preserve">    Registry/</w:t>
        <w:br/>
        <w:t xml:space="preserve">      IAbacTemplateRegistry.cs</w:t>
        <w:br/>
        <w:t xml:space="preserve">      AbacTemplateRegistry.cs</w:t>
        <w:br/>
        <w:t xml:space="preserve">      BuiltInTemplates.cs</w:t>
        <w:br/>
        <w:t xml:space="preserve">    Engine/</w:t>
        <w:br/>
        <w:t xml:space="preserve">      IAbacPolicyEngine.cs</w:t>
        <w:br/>
        <w:t xml:space="preserve">      AbacPolicyEngine.cs</w:t>
        <w:br/>
        <w:t xml:space="preserve">  Exceptions/</w:t>
        <w:br/>
        <w:t xml:space="preserve">    ForbiddenException.cs</w:t>
        <w:br/>
        <w:t xml:space="preserve">  ResourceAuthorizationService.cs       ← implements both methods</w:t>
      </w:r>
    </w:p>
    <w:p>
      <w:pPr>
        <w:pStyle w:val="Heading1"/>
      </w:pPr>
      <w:r>
        <w:rPr>
          <w:color w:val="1F497D"/>
        </w:rPr>
        <w:t>7. Rego Policy Structure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policies/</w:t>
        <w:br/>
        <w:t xml:space="preserve">  authz/</w:t>
        <w:br/>
        <w:t xml:space="preserve">    common/</w:t>
        <w:br/>
        <w:t xml:space="preserve">      helpers.rego</w:t>
        <w:br/>
        <w:t xml:space="preserve">      tenant.rego         ← same_tenant rule used by v1 policies</w:t>
        <w:br/>
        <w:t xml:space="preserve">      mfa.rego</w:t>
        <w:br/>
        <w:t xml:space="preserve">      network.rego</w:t>
        <w:br/>
        <w:t xml:space="preserve">      abac_eval.rego      ← NEW (v2): generic template condition evaluator</w:t>
        <w:br/>
        <w:t xml:space="preserve">    auth/</w:t>
        <w:br/>
        <w:t xml:space="preserve">      read-user.rego      ← v1 resource-specific (unchanged)</w:t>
        <w:br/>
        <w:t xml:space="preserve">      manage-role.rego    ← v1 resource-specific (unchanged)</w:t>
        <w:br/>
        <w:t xml:space="preserve">  tests/</w:t>
        <w:br/>
        <w:t xml:space="preserve">    auth/</w:t>
        <w:br/>
        <w:t xml:space="preserve">      read_user_test.rego</w:t>
        <w:br/>
        <w:t xml:space="preserve">    common/</w:t>
        <w:br/>
        <w:t xml:space="preserve">      abac_eval_test.rego ← NEW (v2): 11 test scenarios</w:t>
      </w:r>
    </w:p>
    <w:p>
      <w:pPr>
        <w:pStyle w:val="Heading2"/>
      </w:pPr>
      <w:r>
        <w:rPr>
          <w:color w:val="2E74B5"/>
        </w:rPr>
        <w:t>7.1 abac_eval.rego — Supported Operators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 (JSON)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Rego logic</w:t>
            </w:r>
          </w:p>
        </w:tc>
      </w:tr>
      <w:tr>
        <w:tc>
          <w:tcPr>
            <w:tcW w:type="dxa" w:w="4320"/>
          </w:tcPr>
          <w:p>
            <w:r>
              <w:t>equals</w:t>
            </w:r>
          </w:p>
        </w:tc>
        <w:tc>
          <w:tcPr>
            <w:tcW w:type="dxa" w:w="4320"/>
          </w:tcPr>
          <w:p>
            <w:r>
              <w:t>resolve_left(c) == resolve_right(c)</w:t>
            </w:r>
          </w:p>
        </w:tc>
      </w:tr>
      <w:tr>
        <w:tc>
          <w:tcPr>
            <w:tcW w:type="dxa" w:w="4320"/>
          </w:tcPr>
          <w:p>
            <w:r>
              <w:t>not_equals</w:t>
            </w:r>
          </w:p>
        </w:tc>
        <w:tc>
          <w:tcPr>
            <w:tcW w:type="dxa" w:w="4320"/>
          </w:tcPr>
          <w:p>
            <w:r>
              <w:t>resolve_left(c) != resolve_right(c)</w:t>
            </w:r>
          </w:p>
        </w:tc>
      </w:tr>
      <w:tr>
        <w:tc>
          <w:tcPr>
            <w:tcW w:type="dxa" w:w="4320"/>
          </w:tcPr>
          <w:p>
            <w:r>
              <w:t>in</w:t>
            </w:r>
          </w:p>
        </w:tc>
        <w:tc>
          <w:tcPr>
            <w:tcW w:type="dxa" w:w="4320"/>
          </w:tcPr>
          <w:p>
            <w:r>
              <w:t>resolve_left(c) in resolve_right(c)</w:t>
            </w:r>
          </w:p>
        </w:tc>
      </w:tr>
      <w:tr>
        <w:tc>
          <w:tcPr>
            <w:tcW w:type="dxa" w:w="4320"/>
          </w:tcPr>
          <w:p>
            <w:r>
              <w:t>not_in</w:t>
            </w:r>
          </w:p>
        </w:tc>
        <w:tc>
          <w:tcPr>
            <w:tcW w:type="dxa" w:w="4320"/>
          </w:tcPr>
          <w:p>
            <w:r>
              <w:t>not resolve_left(c) in resolve_right(c)</w:t>
            </w:r>
          </w:p>
        </w:tc>
      </w:tr>
      <w:tr>
        <w:tc>
          <w:tcPr>
            <w:tcW w:type="dxa" w:w="4320"/>
          </w:tcPr>
          <w:p>
            <w:r>
              <w:t>contains</w:t>
            </w:r>
          </w:p>
        </w:tc>
        <w:tc>
          <w:tcPr>
            <w:tcW w:type="dxa" w:w="4320"/>
          </w:tcPr>
          <w:p>
            <w:r>
              <w:t>resolve_right(c) in resolve_left(c)</w:t>
            </w:r>
          </w:p>
        </w:tc>
      </w:tr>
      <w:tr>
        <w:tc>
          <w:tcPr>
            <w:tcW w:type="dxa" w:w="4320"/>
          </w:tcPr>
          <w:p>
            <w:r>
              <w:t>intersects</w:t>
            </w:r>
          </w:p>
        </w:tc>
        <w:tc>
          <w:tcPr>
            <w:tcW w:type="dxa" w:w="4320"/>
          </w:tcPr>
          <w:p>
            <w:r>
              <w:t>some item in resolve_left(c); item in resolve_right(c)</w:t>
            </w:r>
          </w:p>
        </w:tc>
      </w:tr>
    </w:tbl>
    <w:p/>
    <w:p>
      <w:r>
        <w:t>Paths are resolved by splitting on "." and indexing into input.subject or input.resource. Only one level of nesting (segment.field) is supported. Complex logic that cannot be expressed as a condition template should remain as a dedicated Rego file using Path A.</w:t>
      </w:r>
    </w:p>
    <w:p>
      <w:pPr>
        <w:pStyle w:val="Heading1"/>
      </w:pPr>
      <w:r>
        <w:rPr>
          <w:color w:val="1F497D"/>
        </w:rPr>
        <w:t>8. Tenant Context (X-Tenant-Id)</w:t>
      </w:r>
    </w:p>
    <w:p>
      <w:r>
        <w:t>The active tenant is conveyed via the X-Tenant-Id request header. CurrentUser.TenantId reads the header, validates the value against the user's tenant JWT claims, and falls back to the primary tenant. A user cannot spoof a tenant they do not belong to.</w:t>
      </w:r>
    </w:p>
    <w:p>
      <w:r>
        <w:t>All list queries derive tenant context from ICurrentUser.TenantId — never from a query parameter. The frontend sends X-Tenant-Id automatically via the axios interceptor; the value is persisted to localStorage.</w:t>
      </w:r>
    </w:p>
    <w:p>
      <w:pPr>
        <w:pStyle w:val="ListBullet"/>
        <w:ind w:left="360"/>
      </w:pPr>
      <w:r>
        <w:t>OPA enforces same_tenant in both v1 Rego policies and v2 SameTenant template</w:t>
      </w:r>
    </w:p>
    <w:p>
      <w:pPr>
        <w:pStyle w:val="ListBullet"/>
        <w:ind w:left="360"/>
      </w:pPr>
      <w:r>
        <w:t>Defense-in-depth: DB queries also filter by tenant; OPA is an independent check</w:t>
      </w:r>
    </w:p>
    <w:p>
      <w:pPr>
        <w:pStyle w:val="Heading1"/>
      </w:pPr>
      <w:r>
        <w:rPr>
          <w:color w:val="1F497D"/>
        </w:rPr>
        <w:t>9. Dependency Injection Registration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// Registered in Auth.Infrastructure.DependencyInjection</w:t>
        <w:br/>
        <w:br/>
        <w:t>// OPA client (singleton — HttpClient-backed)</w:t>
        <w:br/>
        <w:t>if (opaOptions.Enabled)</w:t>
        <w:br/>
        <w:t xml:space="preserve">    services.AddSingleton&lt;IOpaPolicyClient, OpaClient&gt;();</w:t>
        <w:br/>
        <w:t>else</w:t>
        <w:br/>
        <w:t xml:space="preserve">    services.AddSingleton&lt;IOpaPolicyClient, NullOpaPolicyClient&gt;();</w:t>
        <w:br/>
        <w:br/>
        <w:t>// Per-request identity</w:t>
        <w:br/>
        <w:t>services.AddScoped&lt;ICurrentUser, CurrentUser&gt;();</w:t>
        <w:br/>
        <w:t>services.AddScoped&lt;IPermissionChecker, PermissionChecker&gt;();</w:t>
        <w:br/>
        <w:t>services.AddScoped&lt;IResourceAuthorizationService, ResourceAuthorizationService&gt;();</w:t>
        <w:br/>
        <w:br/>
        <w:t>// Template ABAC (v2)</w:t>
        <w:br/>
        <w:t>services.AddSingleton&lt;IAbacTemplateRegistry&gt;(_ =&gt; {</w:t>
        <w:br/>
        <w:t xml:space="preserve">    var registry = new AbacTemplateRegistry();</w:t>
        <w:br/>
        <w:t xml:space="preserve">    BuiltInTemplates.Register(registry);</w:t>
        <w:br/>
        <w:t xml:space="preserve">    return registry;</w:t>
        <w:br/>
        <w:t>});</w:t>
        <w:br/>
        <w:t>services.AddScoped&lt;IAbacPolicyEngine, AbacPolicyEngine&gt;();</w:t>
      </w:r>
    </w:p>
    <w:p>
      <w:pPr>
        <w:pStyle w:val="Heading1"/>
      </w:pPr>
      <w:r>
        <w:rPr>
          <w:color w:val="1F497D"/>
        </w:rPr>
        <w:t>10. Security Considerations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OPA unavailable</w:t>
            </w:r>
          </w:p>
        </w:tc>
        <w:tc>
          <w:tcPr>
            <w:tcW w:type="dxa" w:w="4320"/>
          </w:tcPr>
          <w:p>
            <w:r>
              <w:t>FailClosed=true (default) — treats unavailability as deny</w:t>
            </w:r>
          </w:p>
        </w:tc>
      </w:tr>
      <w:tr>
        <w:tc>
          <w:tcPr>
            <w:tcW w:type="dxa" w:w="4320"/>
          </w:tcPr>
          <w:p>
            <w:r>
              <w:t>Tenant spoofing</w:t>
            </w:r>
          </w:p>
        </w:tc>
        <w:tc>
          <w:tcPr>
            <w:tcW w:type="dxa" w:w="4320"/>
          </w:tcPr>
          <w:p>
            <w:r>
              <w:t>X-Tenant-Id validated against JWT tenant claims before use</w:t>
            </w:r>
          </w:p>
        </w:tc>
      </w:tr>
      <w:tr>
        <w:tc>
          <w:tcPr>
            <w:tcW w:type="dxa" w:w="4320"/>
          </w:tcPr>
          <w:p>
            <w:r>
              <w:t>Missing UserInput param</w:t>
            </w:r>
          </w:p>
        </w:tc>
        <w:tc>
          <w:tcPr>
            <w:tcW w:type="dxa" w:w="4320"/>
          </w:tcPr>
          <w:p>
            <w:r>
              <w:t>ArgumentException thrown synchronously — no partial evaluation</w:t>
            </w:r>
          </w:p>
        </w:tc>
      </w:tr>
      <w:tr>
        <w:tc>
          <w:tcPr>
            <w:tcW w:type="dxa" w:w="4320"/>
          </w:tcPr>
          <w:p>
            <w:r>
              <w:t>Empty conditions list</w:t>
            </w:r>
          </w:p>
        </w:tc>
        <w:tc>
          <w:tcPr>
            <w:tcW w:type="dxa" w:w="4320"/>
          </w:tcPr>
          <w:p>
            <w:r>
              <w:t>abac_eval.rego denies by default — explicit conditions required</w:t>
            </w:r>
          </w:p>
        </w:tc>
      </w:tr>
      <w:tr>
        <w:tc>
          <w:tcPr>
            <w:tcW w:type="dxa" w:w="4320"/>
          </w:tcPr>
          <w:p>
            <w:r>
              <w:t>Condition operator escape</w:t>
            </w:r>
          </w:p>
        </w:tc>
        <w:tc>
          <w:tcPr>
            <w:tcW w:type="dxa" w:w="4320"/>
          </w:tcPr>
          <w:p>
            <w:r>
              <w:t>Operator enum serialized to known snake_case strings only</w:t>
            </w:r>
          </w:p>
        </w:tc>
      </w:tr>
      <w:tr>
        <w:tc>
          <w:tcPr>
            <w:tcW w:type="dxa" w:w="4320"/>
          </w:tcPr>
          <w:p>
            <w:r>
              <w:t>Cross-tenant resource read</w:t>
            </w:r>
          </w:p>
        </w:tc>
        <w:tc>
          <w:tcPr>
            <w:tcW w:type="dxa" w:w="4320"/>
          </w:tcPr>
          <w:p>
            <w:r>
              <w:t>SameTenant template + DB tenant filtering (defense-in-depth)</w:t>
            </w:r>
          </w:p>
        </w:tc>
      </w:tr>
      <w:tr>
        <w:tc>
          <w:tcPr>
            <w:tcW w:type="dxa" w:w="4320"/>
          </w:tcPr>
          <w:p>
            <w:r>
              <w:t>Local dev without OPA</w:t>
            </w:r>
          </w:p>
        </w:tc>
        <w:tc>
          <w:tcPr>
            <w:tcW w:type="dxa" w:w="4320"/>
          </w:tcPr>
          <w:p>
            <w:r>
              <w:t>Opa:Enabled=false → NullOpaPolicyClient (always-allow); never in prod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