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0AB" w:rsidRPr="00183B6C" w:rsidRDefault="00C500AB" w:rsidP="00183B6C">
      <w:pPr>
        <w:pStyle w:val="a6"/>
        <w:rPr>
          <w:rFonts w:ascii="Times New Roman" w:hAnsi="Times New Roman" w:cs="Times New Roman"/>
          <w:sz w:val="20"/>
          <w:szCs w:val="20"/>
        </w:rPr>
      </w:pP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hyperlink r:id="rId6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https://kachestvo.pro/metrology/articles/prosto-o-slozhnom/na-rabotu-vykhodyat-dvoyniki/</w:t>
        </w:r>
      </w:hyperlink>
    </w:p>
    <w:p w:rsidR="00D11648" w:rsidRPr="00183B6C" w:rsidRDefault="00D11648" w:rsidP="00183B6C">
      <w:pPr>
        <w:pStyle w:val="a6"/>
        <w:rPr>
          <w:rFonts w:ascii="Times New Roman" w:hAnsi="Times New Roman" w:cs="Times New Roman"/>
          <w:b/>
          <w:bCs/>
          <w:sz w:val="20"/>
          <w:szCs w:val="20"/>
        </w:rPr>
      </w:pPr>
      <w:r w:rsidRPr="00183B6C">
        <w:rPr>
          <w:rFonts w:ascii="Times New Roman" w:hAnsi="Times New Roman" w:cs="Times New Roman"/>
          <w:b/>
          <w:bCs/>
          <w:sz w:val="20"/>
          <w:szCs w:val="20"/>
        </w:rPr>
        <w:t>Куликову</w:t>
      </w:r>
      <w:proofErr w:type="gramStart"/>
      <w:r w:rsidRPr="00183B6C">
        <w:rPr>
          <w:rFonts w:ascii="Times New Roman" w:hAnsi="Times New Roman" w:cs="Times New Roman"/>
          <w:b/>
          <w:bCs/>
          <w:sz w:val="20"/>
          <w:szCs w:val="20"/>
        </w:rPr>
        <w:t xml:space="preserve"> Н</w:t>
      </w:r>
      <w:proofErr w:type="gramEnd"/>
      <w:r w:rsidRPr="00183B6C">
        <w:rPr>
          <w:rFonts w:ascii="Times New Roman" w:hAnsi="Times New Roman" w:cs="Times New Roman"/>
          <w:b/>
          <w:bCs/>
          <w:sz w:val="20"/>
          <w:szCs w:val="20"/>
        </w:rPr>
        <w:t>а работу выходят двойники в метрологии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Как цифровые двойники решают задачи метрологии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b/>
          <w:bCs/>
          <w:sz w:val="20"/>
          <w:szCs w:val="20"/>
        </w:rPr>
      </w:pPr>
      <w:r w:rsidRPr="00183B6C">
        <w:rPr>
          <w:rFonts w:ascii="Times New Roman" w:hAnsi="Times New Roman" w:cs="Times New Roman"/>
          <w:b/>
          <w:bCs/>
          <w:sz w:val="20"/>
          <w:szCs w:val="20"/>
        </w:rPr>
        <w:t>АВТОР: </w:t>
      </w:r>
      <w:hyperlink r:id="rId7" w:history="1">
        <w:r w:rsidRPr="00183B6C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Виктория Васильева</w:t>
        </w:r>
      </w:hyperlink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редактор </w:t>
      </w:r>
      <w:proofErr w:type="spellStart"/>
      <w:proofErr w:type="gramStart"/>
      <w:r w:rsidRPr="00183B6C">
        <w:rPr>
          <w:rFonts w:ascii="Times New Roman" w:hAnsi="Times New Roman" w:cs="Times New Roman"/>
          <w:sz w:val="20"/>
          <w:szCs w:val="20"/>
        </w:rPr>
        <w:t>Pro</w:t>
      </w:r>
      <w:proofErr w:type="gramEnd"/>
      <w:r w:rsidRPr="00183B6C">
        <w:rPr>
          <w:rFonts w:ascii="Times New Roman" w:hAnsi="Times New Roman" w:cs="Times New Roman"/>
          <w:sz w:val="20"/>
          <w:szCs w:val="20"/>
        </w:rPr>
        <w:t>Качество</w:t>
      </w:r>
      <w:proofErr w:type="spellEnd"/>
    </w:p>
    <w:p w:rsidR="00D11648" w:rsidRPr="00183B6C" w:rsidRDefault="00D11648" w:rsidP="00183B6C">
      <w:pPr>
        <w:pStyle w:val="a6"/>
        <w:rPr>
          <w:rFonts w:ascii="Times New Roman" w:hAnsi="Times New Roman" w:cs="Times New Roman"/>
          <w:b/>
          <w:bCs/>
          <w:sz w:val="20"/>
          <w:szCs w:val="20"/>
        </w:rPr>
      </w:pPr>
      <w:r w:rsidRPr="00183B6C">
        <w:rPr>
          <w:rFonts w:ascii="Times New Roman" w:hAnsi="Times New Roman" w:cs="Times New Roman"/>
          <w:b/>
          <w:bCs/>
          <w:sz w:val="20"/>
          <w:szCs w:val="20"/>
        </w:rPr>
        <w:t>Беседовали с </w:t>
      </w:r>
      <w:hyperlink r:id="rId8" w:history="1">
        <w:r w:rsidRPr="00183B6C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 xml:space="preserve">Романом </w:t>
        </w:r>
        <w:proofErr w:type="spellStart"/>
        <w:r w:rsidRPr="00183B6C">
          <w:rPr>
            <w:rStyle w:val="a3"/>
            <w:rFonts w:ascii="Times New Roman" w:hAnsi="Times New Roman" w:cs="Times New Roman"/>
            <w:b/>
            <w:bCs/>
            <w:sz w:val="20"/>
            <w:szCs w:val="20"/>
          </w:rPr>
          <w:t>Логачевым</w:t>
        </w:r>
        <w:proofErr w:type="spellEnd"/>
      </w:hyperlink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руководителем отдела имитационного моделирования и аналитики в компании «Первый Бит», офис NFP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hyperlink r:id="rId9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 распечатать</w:t>
        </w:r>
        <w:proofErr w:type="gramStart"/>
      </w:hyperlink>
      <w:hyperlink r:id="rId10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 П</w:t>
        </w:r>
        <w:proofErr w:type="gramEnd"/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оделиться</w:t>
        </w:r>
      </w:hyperlink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прочитано 99%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hyperlink r:id="rId11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#</w:t>
        </w:r>
        <w:proofErr w:type="spellStart"/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цифровизация</w:t>
        </w:r>
        <w:proofErr w:type="spellEnd"/>
      </w:hyperlink>
      <w:r w:rsidRPr="00183B6C">
        <w:rPr>
          <w:rFonts w:ascii="Times New Roman" w:hAnsi="Times New Roman" w:cs="Times New Roman"/>
          <w:sz w:val="20"/>
          <w:szCs w:val="20"/>
        </w:rPr>
        <w:t> </w:t>
      </w:r>
      <w:hyperlink r:id="rId12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#Метрология</w:t>
        </w:r>
      </w:hyperlink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Цифровое моделирование постепенно внедряется в самые разные сферы – от логистики до здравоохранения. </w:t>
      </w:r>
    </w:p>
    <w:p w:rsid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Сегодня технологии позволяют проводить замеры, анализировать данные и строить прогнозы не на реальном объекте, а в его виртуальной копии – цифровом двойнике.</w:t>
      </w:r>
      <w:r w:rsidRPr="00183B6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Роман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Логачев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 xml:space="preserve">, руководитель отдела имитационного моделирования и аналитики в компании «Первый Бит», офис NFP, рассказал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Метрология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Pro</w:t>
      </w:r>
      <w:proofErr w:type="spellEnd"/>
      <w:proofErr w:type="gramEnd"/>
      <w:r w:rsidRPr="00183B6C">
        <w:rPr>
          <w:rFonts w:ascii="Times New Roman" w:hAnsi="Times New Roman" w:cs="Times New Roman"/>
          <w:sz w:val="20"/>
          <w:szCs w:val="20"/>
        </w:rPr>
        <w:t>, как эта технология работает в теории и на практике, а также о том, какие данные можно получить с ее помощью.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4088F59" wp14:editId="27700BB8">
            <wp:extent cx="153670" cy="153670"/>
            <wp:effectExtent l="0" t="0" r="0" b="0"/>
            <wp:docPr id="2" name="Рисунок 2" descr="https://kachestvo.pro/local/templates/main/img/icons/com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chestvo.pro/local/templates/main/img/icons/comment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6C">
        <w:rPr>
          <w:rFonts w:ascii="Times New Roman" w:hAnsi="Times New Roman" w:cs="Times New Roman"/>
          <w:sz w:val="20"/>
          <w:szCs w:val="20"/>
        </w:rPr>
        <w:t> 0</w:t>
      </w:r>
      <w:r w:rsidRPr="00183B6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07E6923" wp14:editId="5C942EA4">
            <wp:extent cx="153670" cy="153670"/>
            <wp:effectExtent l="0" t="0" r="0" b="0"/>
            <wp:docPr id="1" name="Рисунок 1" descr="https://kachestvo.pro/local/templates/main/img/icons/like_grey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kachestvo.pro/local/templates/main/img/icons/like_grey_smal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B6C">
        <w:rPr>
          <w:rFonts w:ascii="Times New Roman" w:hAnsi="Times New Roman" w:cs="Times New Roman"/>
          <w:sz w:val="20"/>
          <w:szCs w:val="20"/>
        </w:rPr>
        <w:t> 624.09.2025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Немного истории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Впервые подобная концепция появляется в книге «Происхождение цифровых двойников», написанной в 2002 году Майклом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Гривсом</w:t>
      </w:r>
      <w:proofErr w:type="spell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, профессором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Мичиганского</w:t>
      </w:r>
      <w:proofErr w:type="spell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университета.</w:t>
      </w:r>
      <w:r w:rsidRPr="00183B6C">
        <w:rPr>
          <w:rFonts w:ascii="Times New Roman" w:hAnsi="Times New Roman" w:cs="Times New Roman"/>
          <w:sz w:val="20"/>
          <w:szCs w:val="20"/>
        </w:rPr>
        <w:t xml:space="preserve"> Он описывает три основные части, которые необходимы для работы цифрового двойника: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Физический продукт в реальном пространстве;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Виртуальный продукт в виртуальном пространстве;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Данные и информация, которые объединяют виртуальный и физический продукт.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Как пишет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Гривс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>, «в идеальных условиях вся информация, которую можно получить от изделия, может быть получена от его цифрового двойника». Идея оказалась вдохновляющей, и в 2010 году термин уже официально появляется в отчете NASA о моделировании и симуляции.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Использование виртуальной реальности стало еще более реальным благодаря развитию искусственного интеллекта и интернета вещей, в итоге сегодня они используются в самых разных отраслях, в том числе для метрологических измерений.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В России – на законных основаниях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В 2021 году приказом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Росстандарта</w:t>
      </w:r>
      <w:proofErr w:type="spell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был утвержден новый национальный стандарт серии «Численное моделирование» –  ГОСТ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Р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57700.37-2021 «Компьютерные модели и моделирование. Цифровые двойники изделий. Общие положения»</w:t>
      </w:r>
      <w:r w:rsidRPr="00183B6C">
        <w:rPr>
          <w:rFonts w:ascii="Times New Roman" w:hAnsi="Times New Roman" w:cs="Times New Roman"/>
          <w:sz w:val="20"/>
          <w:szCs w:val="20"/>
        </w:rPr>
        <w:t>. Он ориентируется на отрасль машиностроения, но на его основе в будущем могут быть разработаны стандарты, устанавливающие требования к цифровым двойникам изделий любых других отраслей с учетом их специфики. </w:t>
      </w:r>
    </w:p>
    <w:p w:rsid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Этот стандарт является уникальной отечественной разработкой. В мировой практике впервые было установлено единое определение цифрового двойника изделия: «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цифровой двойник изделия – система, состоящая из цифровой модели изделия и двусторонних информационных связей с изделием (при наличии изделия) и (или) его составными частями». </w:t>
      </w:r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Также в России впервые были </w:t>
      </w:r>
    </w:p>
    <w:p w:rsid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стандартизованы такие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понятия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,к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>ак</w:t>
      </w:r>
      <w:proofErr w:type="spellEnd"/>
    </w:p>
    <w:p w:rsidR="00183B6C" w:rsidRPr="00183B6C" w:rsidRDefault="00183B6C" w:rsidP="00183B6C">
      <w:pPr>
        <w:pStyle w:val="a6"/>
        <w:rPr>
          <w:rFonts w:ascii="Times New Roman" w:hAnsi="Times New Roman" w:cs="Times New Roman"/>
          <w:i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i/>
          <w:color w:val="FF0000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i/>
          <w:color w:val="FF0000"/>
          <w:sz w:val="20"/>
          <w:szCs w:val="20"/>
        </w:rPr>
        <w:t xml:space="preserve"> «цифровые (виртуальные) испытания», </w:t>
      </w:r>
    </w:p>
    <w:p w:rsidR="00183B6C" w:rsidRPr="00183B6C" w:rsidRDefault="00183B6C" w:rsidP="00183B6C">
      <w:pPr>
        <w:pStyle w:val="a6"/>
        <w:rPr>
          <w:rFonts w:ascii="Times New Roman" w:hAnsi="Times New Roman" w:cs="Times New Roman"/>
          <w:i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i/>
          <w:color w:val="FF0000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i/>
          <w:color w:val="FF0000"/>
          <w:sz w:val="20"/>
          <w:szCs w:val="20"/>
        </w:rPr>
        <w:t xml:space="preserve">«цифровой (виртуальный) испытательный стенд» </w:t>
      </w:r>
    </w:p>
    <w:p w:rsidR="00D11648" w:rsidRPr="00183B6C" w:rsidRDefault="00183B6C" w:rsidP="00183B6C">
      <w:pPr>
        <w:pStyle w:val="a6"/>
        <w:rPr>
          <w:rFonts w:ascii="Times New Roman" w:hAnsi="Times New Roman" w:cs="Times New Roman"/>
          <w:i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i/>
          <w:color w:val="FF0000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i/>
          <w:color w:val="FF0000"/>
          <w:sz w:val="20"/>
          <w:szCs w:val="20"/>
        </w:rPr>
        <w:t>и «цифровой (виртуальный) испытательный полигон». 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ГОСТ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Р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57700.37-2021 – это первый документ в серии национальных и отраслевых нормативных технических документов, которые содержат порядок разработки цифровых двойников, а также требования к структуре и порядку их сопровождения при эксплуатации изделия, порядок учета и хранения и т.д.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b/>
          <w:sz w:val="20"/>
          <w:szCs w:val="20"/>
        </w:rPr>
      </w:pPr>
      <w:r w:rsidRPr="00183B6C">
        <w:rPr>
          <w:rFonts w:ascii="Times New Roman" w:hAnsi="Times New Roman" w:cs="Times New Roman"/>
          <w:b/>
          <w:sz w:val="20"/>
          <w:szCs w:val="20"/>
        </w:rPr>
        <w:t>Как цифровые двойники работают на практике?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«Внедрение технологий цифровых двойников и имитационного моделирования в метрологию – это не просто тренд, это закономерная эволюция подхода 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к обеспечению точности и надежности измерений, – </w:t>
      </w:r>
      <w:r w:rsidRPr="00183B6C">
        <w:rPr>
          <w:rFonts w:ascii="Times New Roman" w:hAnsi="Times New Roman" w:cs="Times New Roman"/>
          <w:sz w:val="20"/>
          <w:szCs w:val="20"/>
        </w:rPr>
        <w:t xml:space="preserve">рассказывает Роман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Логачев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 xml:space="preserve">, руководитель 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>отдела имитационного моделирования и аналитики в компании «Первый Бит»,</w:t>
      </w:r>
      <w:r w:rsidRPr="00183B6C">
        <w:rPr>
          <w:rFonts w:ascii="Times New Roman" w:hAnsi="Times New Roman" w:cs="Times New Roman"/>
          <w:sz w:val="20"/>
          <w:szCs w:val="20"/>
        </w:rPr>
        <w:t xml:space="preserve"> офис NFP. –  Мы переходим 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от реактивной модели, когда проблемы с калибровкой или качеством обнаруживаются постфактум,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к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прогнозной, где большинство решений принимается в виртуальной среде до того, как они повлияют на реальный процесс.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Внедрение цифровых двойников – это поступательный процесс, который начинается не с покупки дорогостоящего </w:t>
      </w:r>
      <w:proofErr w:type="gramStart"/>
      <w:r w:rsidRPr="00183B6C">
        <w:rPr>
          <w:rFonts w:ascii="Times New Roman" w:hAnsi="Times New Roman" w:cs="Times New Roman"/>
          <w:sz w:val="20"/>
          <w:szCs w:val="20"/>
        </w:rPr>
        <w:t>ПО</w:t>
      </w:r>
      <w:proofErr w:type="gramEnd"/>
      <w:r w:rsidRPr="00183B6C">
        <w:rPr>
          <w:rFonts w:ascii="Times New Roman" w:hAnsi="Times New Roman" w:cs="Times New Roman"/>
          <w:sz w:val="20"/>
          <w:szCs w:val="20"/>
        </w:rPr>
        <w:t xml:space="preserve">, а </w:t>
      </w:r>
      <w:proofErr w:type="gramStart"/>
      <w:r w:rsidRPr="00183B6C">
        <w:rPr>
          <w:rFonts w:ascii="Times New Roman" w:hAnsi="Times New Roman" w:cs="Times New Roman"/>
          <w:sz w:val="20"/>
          <w:szCs w:val="20"/>
        </w:rPr>
        <w:t>с</w:t>
      </w:r>
      <w:proofErr w:type="gramEnd"/>
      <w:r w:rsidRPr="00183B6C">
        <w:rPr>
          <w:rFonts w:ascii="Times New Roman" w:hAnsi="Times New Roman" w:cs="Times New Roman"/>
          <w:sz w:val="20"/>
          <w:szCs w:val="20"/>
        </w:rPr>
        <w:t xml:space="preserve"> глубокого анализа собственных процессов: каждый шаг – от звонка клиента до подписи в сертификате, учитывая все «узкие горлышки», внезапные авралы и простои инженеров в пробке. Следующий шаг – сбор и анализ исторических данных. На этом этапе многие по-настоящему открывают для </w:t>
      </w:r>
      <w:r w:rsidRPr="00183B6C">
        <w:rPr>
          <w:rFonts w:ascii="Times New Roman" w:hAnsi="Times New Roman" w:cs="Times New Roman"/>
          <w:sz w:val="20"/>
          <w:szCs w:val="20"/>
        </w:rPr>
        <w:lastRenderedPageBreak/>
        <w:t>себя свои же процессы: как на самом деле распределяется нагрузка, где возникают неочевидные задержки, как время в пути влияет на производительность полевых специалистов.</w:t>
      </w:r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После сбора данных строится 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имитационная модель, например, в </w:t>
      </w:r>
      <w:proofErr w:type="spell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AnyLogic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Ключевой этап –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валидация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>. Модель должна с высокой точностью воспроизводить реальные показатели. Только после этого она превращается в надежный инструмент, на котором можно без рисков тестировать улучшения. Также необходимо понимать, что внедрение – это не разовый проект, а запуск цикла непрерывного совершенствования, где модель постоянно актуализируется и используется для принятия решений».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Какие данные можно измерять и анализировать с помощью цифровых двойников?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proofErr w:type="gramStart"/>
      <w:r w:rsidRPr="00183B6C">
        <w:rPr>
          <w:rFonts w:ascii="Times New Roman" w:hAnsi="Times New Roman" w:cs="Times New Roman"/>
          <w:sz w:val="20"/>
          <w:szCs w:val="20"/>
        </w:rPr>
        <w:t xml:space="preserve">Имитационное моделирование открывает возможности для анализа колоссального массива данных, превращая разрозненные данные в управляемые, рассказывает Роман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Логачев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Ключевые категории:</w:t>
      </w:r>
    </w:p>
    <w:p w:rsidR="00D11648" w:rsidRP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sz w:val="20"/>
          <w:szCs w:val="20"/>
        </w:rPr>
        <w:t>Данные о процессах: время выполнения отдельных операций калибровки, административной обработки заказов, время ожидания в очередях (например, пока прибор или калибратор освободится), маршруты и время перемещения инженеров;</w:t>
      </w:r>
    </w:p>
    <w:p w:rsidR="00D11648" w:rsidRP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sz w:val="20"/>
          <w:szCs w:val="20"/>
        </w:rPr>
        <w:t>Данные о спросе и нагрузке: исторические и прогнозные данные о поступлении заказов на калибровку, их типы, сезонные пики и их интенсивность;</w:t>
      </w:r>
    </w:p>
    <w:p w:rsidR="00D11648" w:rsidRP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sz w:val="20"/>
          <w:szCs w:val="20"/>
        </w:rPr>
        <w:t>Данные о ресурсах: загрузка и производительность технических специалистов, использование и простои калибровочного оборудования, доступность запасных частей и эталонных образцов;</w:t>
      </w:r>
    </w:p>
    <w:p w:rsidR="00D11648" w:rsidRP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sz w:val="20"/>
          <w:szCs w:val="20"/>
        </w:rPr>
        <w:t>Данные о рисках и качестве: данные о дрейфе приборов (для оптимизации интервалов калибровки), вероятность сбоев производственного оборудования, статистика дефектов и время их обнаружения;</w:t>
      </w:r>
    </w:p>
    <w:p w:rsid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sz w:val="20"/>
          <w:szCs w:val="20"/>
        </w:rPr>
        <w:t>Внешние данные: время в пути до объектов клиентов, логистика, влияние погодных условий и пробок на графики полевых специалистов.</w:t>
      </w:r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Главная ценность модели в том, что она позволяет анализировать не данные по отдельности, а их взаимное влияние в динамике. 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Можно увидеть, как увеличение спроса на 20% повлияет на загрузку инженеров и процент просроченных заказов или как изменение частоты контрольных измерений на производственной линии скажется на объеме брака и общей пропускной способности.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Какой эффект может быть получен</w:t>
      </w:r>
      <w:r w:rsidRPr="00183B6C">
        <w:rPr>
          <w:rFonts w:ascii="Times New Roman" w:hAnsi="Times New Roman" w:cs="Times New Roman"/>
          <w:sz w:val="20"/>
          <w:szCs w:val="20"/>
        </w:rPr>
        <w:t>?</w:t>
      </w:r>
    </w:p>
    <w:p w:rsid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«Эффект от внедрения цифровых двойников в метрологии измеряется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в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конкретных бизнес-показателях:</w:t>
      </w:r>
    </w:p>
    <w:p w:rsid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="00183B6C">
        <w:rPr>
          <w:rFonts w:ascii="Times New Roman" w:hAnsi="Times New Roman" w:cs="Times New Roman"/>
          <w:color w:val="FF0000"/>
          <w:sz w:val="20"/>
          <w:szCs w:val="20"/>
        </w:rPr>
        <w:t>-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деньгах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, </w:t>
      </w:r>
    </w:p>
    <w:p w:rsidR="00183B6C" w:rsidRDefault="00183B6C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времени </w:t>
      </w:r>
    </w:p>
    <w:p w:rsidR="00183B6C" w:rsidRDefault="00183B6C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-</w:t>
      </w:r>
      <w:r w:rsidR="00D11648"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и </w:t>
      </w:r>
      <w:proofErr w:type="gramStart"/>
      <w:r w:rsidR="00D11648" w:rsidRPr="00183B6C">
        <w:rPr>
          <w:rFonts w:ascii="Times New Roman" w:hAnsi="Times New Roman" w:cs="Times New Roman"/>
          <w:color w:val="FF0000"/>
          <w:sz w:val="20"/>
          <w:szCs w:val="20"/>
        </w:rPr>
        <w:t>снижении</w:t>
      </w:r>
      <w:proofErr w:type="gramEnd"/>
      <w:r w:rsidR="00D11648"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рисков»</w:t>
      </w:r>
      <w:r w:rsidR="00D11648" w:rsidRPr="00183B6C">
        <w:rPr>
          <w:rFonts w:ascii="Times New Roman" w:hAnsi="Times New Roman" w:cs="Times New Roman"/>
          <w:sz w:val="20"/>
          <w:szCs w:val="20"/>
        </w:rPr>
        <w:t>,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 – говорит Роман </w:t>
      </w:r>
      <w:proofErr w:type="spellStart"/>
      <w:r w:rsidRPr="00183B6C">
        <w:rPr>
          <w:rFonts w:ascii="Times New Roman" w:hAnsi="Times New Roman" w:cs="Times New Roman"/>
          <w:sz w:val="20"/>
          <w:szCs w:val="20"/>
        </w:rPr>
        <w:t>Логачев</w:t>
      </w:r>
      <w:proofErr w:type="spellEnd"/>
      <w:r w:rsidRPr="00183B6C">
        <w:rPr>
          <w:rFonts w:ascii="Times New Roman" w:hAnsi="Times New Roman" w:cs="Times New Roman"/>
          <w:sz w:val="20"/>
          <w:szCs w:val="20"/>
        </w:rPr>
        <w:t xml:space="preserve"> и перечисляет следующие показатели: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Снижение затрат и оптимизация ресурсов – очевидный результат. Это не про «урезать бюджеты», а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про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«делать больше с теми же ресурсами».</w:t>
      </w:r>
    </w:p>
    <w:p w:rsidR="00183B6C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Пример: модель показала, что добавление специалистов в лабораторию не решит проблему с растущим спросом, а приведет к убыточной деятельности.</w:t>
      </w:r>
    </w:p>
    <w:p w:rsid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 Эффективным решением оказалось сокращение </w:t>
      </w:r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внутренних задержек в процессе (оптимизация координации), что позволило увеличить производительность на 60% с </w:t>
      </w:r>
      <w:proofErr w:type="gramStart"/>
      <w:r w:rsidRPr="00183B6C">
        <w:rPr>
          <w:rFonts w:ascii="Times New Roman" w:hAnsi="Times New Roman" w:cs="Times New Roman"/>
          <w:color w:val="FF0000"/>
          <w:sz w:val="20"/>
          <w:szCs w:val="20"/>
        </w:rPr>
        <w:t>минимальными</w:t>
      </w:r>
      <w:proofErr w:type="gramEnd"/>
      <w:r w:rsidRPr="00183B6C">
        <w:rPr>
          <w:rFonts w:ascii="Times New Roman" w:hAnsi="Times New Roman" w:cs="Times New Roman"/>
          <w:color w:val="FF0000"/>
          <w:sz w:val="20"/>
          <w:szCs w:val="20"/>
        </w:rPr>
        <w:t xml:space="preserve"> сверхурочными. 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В другом сценарии целевые инвестиции в мощности лаборатории (удвоение станций калибровки) позволили почти полностью удовлетворить спрос без расширения штата. Экономия затрат на калибровку и простои на 50%;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Повышение качества и соблюдение нормативных требований.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color w:val="FF0000"/>
          <w:sz w:val="20"/>
          <w:szCs w:val="20"/>
        </w:rPr>
        <w:t>Пример</w:t>
      </w:r>
      <w:r w:rsidRPr="00183B6C">
        <w:rPr>
          <w:rFonts w:ascii="Times New Roman" w:hAnsi="Times New Roman" w:cs="Times New Roman"/>
          <w:sz w:val="20"/>
          <w:szCs w:val="20"/>
        </w:rPr>
        <w:t xml:space="preserve">: моделирование позволило </w:t>
      </w:r>
      <w:r w:rsidRPr="005C368B">
        <w:rPr>
          <w:rFonts w:ascii="Times New Roman" w:hAnsi="Times New Roman" w:cs="Times New Roman"/>
          <w:color w:val="FF0000"/>
          <w:sz w:val="20"/>
          <w:szCs w:val="20"/>
        </w:rPr>
        <w:t>оптимизировать частоту метрологических проверок в производстве</w:t>
      </w:r>
      <w:r w:rsidRPr="00183B6C">
        <w:rPr>
          <w:rFonts w:ascii="Times New Roman" w:hAnsi="Times New Roman" w:cs="Times New Roman"/>
          <w:sz w:val="20"/>
          <w:szCs w:val="20"/>
        </w:rPr>
        <w:t xml:space="preserve">. </w:t>
      </w:r>
      <w:r w:rsidRPr="005C368B">
        <w:rPr>
          <w:rFonts w:ascii="Times New Roman" w:hAnsi="Times New Roman" w:cs="Times New Roman"/>
          <w:color w:val="FF0000"/>
          <w:sz w:val="20"/>
          <w:szCs w:val="20"/>
        </w:rPr>
        <w:t>Вместо консервативного подхода «измерять чаще на всякий случай» компания нашла баланс, который минимизирует риск выпуска бракованной продукции (раннее обнаружение дрейфа оборудования), но при этом не снижает общую производительность из-за излишних остановок на измерения. Это прямая экономия на стоимости брака и переделки</w:t>
      </w:r>
      <w:r w:rsidRPr="00183B6C">
        <w:rPr>
          <w:rFonts w:ascii="Times New Roman" w:hAnsi="Times New Roman" w:cs="Times New Roman"/>
          <w:sz w:val="20"/>
          <w:szCs w:val="20"/>
        </w:rPr>
        <w:t>;</w:t>
      </w:r>
    </w:p>
    <w:p w:rsidR="00D11648" w:rsidRPr="005C368B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5C368B">
        <w:rPr>
          <w:rFonts w:ascii="Times New Roman" w:hAnsi="Times New Roman" w:cs="Times New Roman"/>
          <w:color w:val="FF0000"/>
          <w:sz w:val="20"/>
          <w:szCs w:val="20"/>
        </w:rPr>
        <w:t>Оптимизация интервалов калибровки.</w:t>
      </w:r>
    </w:p>
    <w:p w:rsidR="00D11648" w:rsidRPr="005C368B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5C368B">
        <w:rPr>
          <w:rFonts w:ascii="Times New Roman" w:hAnsi="Times New Roman" w:cs="Times New Roman"/>
          <w:color w:val="FF0000"/>
          <w:sz w:val="20"/>
          <w:szCs w:val="20"/>
        </w:rPr>
        <w:t xml:space="preserve">Моделирование по методу Монте-Карло на основе исторических данных о дрейфе каждого прибора позволяет перейти от калибровки «по календарю» к калибровке по состоянию. </w:t>
      </w:r>
      <w:r w:rsidRPr="00183B6C">
        <w:rPr>
          <w:rFonts w:ascii="Times New Roman" w:hAnsi="Times New Roman" w:cs="Times New Roman"/>
          <w:sz w:val="20"/>
          <w:szCs w:val="20"/>
        </w:rPr>
        <w:t xml:space="preserve">Результаты: </w:t>
      </w:r>
      <w:r w:rsidRPr="005C368B">
        <w:rPr>
          <w:rFonts w:ascii="Times New Roman" w:hAnsi="Times New Roman" w:cs="Times New Roman"/>
          <w:color w:val="FF0000"/>
          <w:sz w:val="20"/>
          <w:szCs w:val="20"/>
        </w:rPr>
        <w:t>сокращение риска вероятности использования неисправного прибора на 46% при одновременном сокращении затрат на калибровку. Стабильные приборы калибруются реже, а ресурсы концентрируются на тех, кто в этом нуждается;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Повышение гибкости и обоснованности решений: руководство получает инструмент для стратегического планирования.</w:t>
      </w:r>
    </w:p>
    <w:p w:rsidR="005C368B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 xml:space="preserve">Можно количественно оценить, сколько инженеров потребуется для покрытия растущего парка оборудования, какой эффект дает внедрение удаленной калибровки или как оптимизировать логистику для полевых специалистов. 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Решения принимаются не на основе интуиции, а подкрепляются данными имитационных экспериментов.</w:t>
      </w:r>
    </w:p>
    <w:p w:rsidR="00D11648" w:rsidRPr="005C368B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5C368B">
        <w:rPr>
          <w:rFonts w:ascii="Times New Roman" w:hAnsi="Times New Roman" w:cs="Times New Roman"/>
          <w:color w:val="FF0000"/>
          <w:sz w:val="20"/>
          <w:szCs w:val="20"/>
        </w:rPr>
        <w:lastRenderedPageBreak/>
        <w:t>В итоге цифровые двойники трансформируют метрологию из центра затрат, необходимого для соблюдения требований, в стратегический актив, который генерирует операционную эффективность, снижает риски и вносит прямой вклад в финансовый результат компании.</w:t>
      </w:r>
    </w:p>
    <w:p w:rsidR="00D11648" w:rsidRPr="005C368B" w:rsidRDefault="00D11648" w:rsidP="00183B6C">
      <w:pPr>
        <w:pStyle w:val="a6"/>
        <w:rPr>
          <w:rFonts w:ascii="Times New Roman" w:hAnsi="Times New Roman" w:cs="Times New Roman"/>
          <w:color w:val="FF0000"/>
          <w:sz w:val="20"/>
          <w:szCs w:val="20"/>
        </w:rPr>
      </w:pPr>
      <w:r w:rsidRPr="005C368B">
        <w:rPr>
          <w:rFonts w:ascii="Times New Roman" w:hAnsi="Times New Roman" w:cs="Times New Roman"/>
          <w:color w:val="FF0000"/>
          <w:sz w:val="20"/>
          <w:szCs w:val="20"/>
        </w:rPr>
        <w:t>Перспективы использования цифровых двойников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Цифровая модель любого объекта – это возможность провести любые замеры и эксперименты с минимальными рисками. Если отлажены все системы и процессы, работать с цифровым двойником можно так же, как с реальным объектом: тестировать изменения и строить прогнозы, но без серьезных финансовых потерь.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sz w:val="20"/>
          <w:szCs w:val="20"/>
        </w:rPr>
        <w:t>Сегодня технология активно используется в промышленности, в будущем, вероятно, станет возможно работать с цифровым двойником целого города и его инфраструктуры, что поможет выявлять слабые места и предотвращать чрезвычайные ситуации. Это мировой тренд, в котором развитие отечественных стандартов и технологической базы может стать ключевой движущей силой.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#</w:t>
        </w:r>
        <w:proofErr w:type="spellStart"/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цифровизация</w:t>
        </w:r>
      </w:hyperlink>
      <w:hyperlink r:id="rId16" w:history="1">
        <w:r w:rsidRPr="00183B6C">
          <w:rPr>
            <w:rStyle w:val="a3"/>
            <w:rFonts w:ascii="Times New Roman" w:hAnsi="Times New Roman" w:cs="Times New Roman"/>
            <w:sz w:val="20"/>
            <w:szCs w:val="20"/>
          </w:rPr>
          <w:t>#Метрология</w:t>
        </w:r>
        <w:proofErr w:type="spellEnd"/>
      </w:hyperlink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r w:rsidRPr="00183B6C">
        <w:rPr>
          <w:rFonts w:ascii="Times New Roman" w:hAnsi="Times New Roman" w:cs="Times New Roman"/>
          <w:b/>
          <w:bCs/>
          <w:sz w:val="20"/>
          <w:szCs w:val="20"/>
        </w:rPr>
        <w:t>Была ли статья полезна?</w:t>
      </w:r>
      <w:r w:rsidRPr="00183B6C">
        <w:rPr>
          <w:rFonts w:ascii="Times New Roman" w:hAnsi="Times New Roman" w:cs="Times New Roman"/>
          <w:sz w:val="20"/>
          <w:szCs w:val="20"/>
        </w:rPr>
        <w:t>  </w:t>
      </w:r>
    </w:p>
    <w:p w:rsidR="00D11648" w:rsidRPr="00183B6C" w:rsidRDefault="00D11648" w:rsidP="00183B6C">
      <w:pPr>
        <w:pStyle w:val="a6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D11648" w:rsidRPr="00183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74918"/>
    <w:multiLevelType w:val="multilevel"/>
    <w:tmpl w:val="B7C6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931BA8"/>
    <w:multiLevelType w:val="multilevel"/>
    <w:tmpl w:val="424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E52820"/>
    <w:multiLevelType w:val="multilevel"/>
    <w:tmpl w:val="16A0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994"/>
    <w:rsid w:val="00183B6C"/>
    <w:rsid w:val="005C368B"/>
    <w:rsid w:val="005E0994"/>
    <w:rsid w:val="00C500AB"/>
    <w:rsid w:val="00D1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1648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11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1648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83B6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1648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116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1648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83B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4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4117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481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45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879890">
                          <w:marLeft w:val="75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838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5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9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16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1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7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EEEEEE"/>
                                <w:left w:val="single" w:sz="6" w:space="8" w:color="EEEEEE"/>
                                <w:bottom w:val="single" w:sz="6" w:space="8" w:color="EEEEEE"/>
                                <w:right w:val="single" w:sz="6" w:space="8" w:color="EEEEEE"/>
                              </w:divBdr>
                            </w:div>
                          </w:divsChild>
                        </w:div>
                        <w:div w:id="202971924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61547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8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6780">
                          <w:marLeft w:val="0"/>
                          <w:marRight w:val="0"/>
                          <w:marTop w:val="6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801549">
                          <w:marLeft w:val="0"/>
                          <w:marRight w:val="0"/>
                          <w:marTop w:val="6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chestvo.pro/authors/roman-logachev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kachestvo.pro/authors/viktoriya-vasileva/" TargetMode="External"/><Relationship Id="rId12" Type="http://schemas.openxmlformats.org/officeDocument/2006/relationships/hyperlink" Target="https://kachestvo.pro/tags/metrologiy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kachestvo.pro/tags/metrologiy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achestvo.pro/metrology/articles/prosto-o-slozhnom/na-rabotu-vykhodyat-dvoyniki/" TargetMode="External"/><Relationship Id="rId11" Type="http://schemas.openxmlformats.org/officeDocument/2006/relationships/hyperlink" Target="https://kachestvo.pro/tags/tsifrovizatsiy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achestvo.pro/tags/tsifrovizatsiya/" TargetMode="External"/><Relationship Id="rId10" Type="http://schemas.openxmlformats.org/officeDocument/2006/relationships/hyperlink" Target="https://kachestvo.pro/metrology/articles/prosto-o-slozhnom/na-rabotu-vykhodyat-dvoyniki/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window.print();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2025-10-07T11:44:00Z</dcterms:created>
  <dcterms:modified xsi:type="dcterms:W3CDTF">2025-10-07T11:44:00Z</dcterms:modified>
</cp:coreProperties>
</file>