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18AB" w:rsidRPr="008918AB" w:rsidRDefault="008918AB" w:rsidP="008918AB">
      <w:pPr>
        <w:pStyle w:val="Heading1"/>
        <w:rPr>
          <w:color w:val="000000" w:themeColor="text1"/>
        </w:rPr>
      </w:pPr>
      <w:r w:rsidRPr="008918AB">
        <w:rPr>
          <w:color w:val="000000" w:themeColor="text1"/>
        </w:rPr>
        <w:t>The NEG II Woman–Goose Figurine as a Case Study in the Deep Symbolic Systems Model (DSSM)</w:t>
      </w:r>
    </w:p>
    <w:p w:rsidR="008918AB" w:rsidRPr="008918AB" w:rsidRDefault="008918AB" w:rsidP="008918AB">
      <w:pPr>
        <w:pStyle w:val="p2"/>
        <w:rPr>
          <w:color w:val="000000" w:themeColor="text1"/>
        </w:rPr>
      </w:pPr>
    </w:p>
    <w:p w:rsidR="008918AB" w:rsidRPr="008918AB" w:rsidRDefault="008918AB" w:rsidP="008918AB">
      <w:pPr>
        <w:pStyle w:val="p2"/>
        <w:rPr>
          <w:color w:val="000000" w:themeColor="text1"/>
        </w:rPr>
      </w:pPr>
    </w:p>
    <w:p w:rsidR="008918AB" w:rsidRPr="008918AB" w:rsidRDefault="008918AB" w:rsidP="008918AB">
      <w:pPr>
        <w:pStyle w:val="p2"/>
        <w:rPr>
          <w:color w:val="000000" w:themeColor="text1"/>
        </w:rPr>
      </w:pPr>
    </w:p>
    <w:p w:rsidR="008918AB" w:rsidRPr="008918AB" w:rsidRDefault="008918AB" w:rsidP="008918AB">
      <w:pPr>
        <w:pStyle w:val="p2"/>
        <w:rPr>
          <w:color w:val="000000" w:themeColor="text1"/>
        </w:rPr>
      </w:pPr>
    </w:p>
    <w:p w:rsidR="008918AB" w:rsidRPr="008918AB" w:rsidRDefault="008918AB" w:rsidP="008918AB">
      <w:pPr>
        <w:pStyle w:val="p2"/>
        <w:rPr>
          <w:color w:val="000000" w:themeColor="text1"/>
        </w:rPr>
      </w:pPr>
    </w:p>
    <w:p w:rsidR="008918AB" w:rsidRDefault="008918AB" w:rsidP="008918AB">
      <w:pPr>
        <w:pStyle w:val="p2"/>
        <w:rPr>
          <w:color w:val="000000" w:themeColor="text1"/>
        </w:rPr>
      </w:pPr>
    </w:p>
    <w:p w:rsidR="008918AB" w:rsidRDefault="008918AB" w:rsidP="008918AB">
      <w:pPr>
        <w:pStyle w:val="p2"/>
        <w:rPr>
          <w:color w:val="000000" w:themeColor="text1"/>
        </w:rPr>
      </w:pPr>
    </w:p>
    <w:p w:rsidR="008918AB" w:rsidRDefault="008918AB" w:rsidP="008918AB">
      <w:pPr>
        <w:pStyle w:val="p2"/>
        <w:rPr>
          <w:color w:val="000000" w:themeColor="text1"/>
        </w:rPr>
      </w:pPr>
    </w:p>
    <w:p w:rsidR="008918AB" w:rsidRDefault="008918AB" w:rsidP="008918AB">
      <w:pPr>
        <w:pStyle w:val="p2"/>
        <w:rPr>
          <w:color w:val="000000" w:themeColor="text1"/>
        </w:rPr>
      </w:pPr>
    </w:p>
    <w:p w:rsidR="008918AB" w:rsidRDefault="008918AB" w:rsidP="008918AB">
      <w:pPr>
        <w:pStyle w:val="p2"/>
        <w:rPr>
          <w:color w:val="000000" w:themeColor="text1"/>
        </w:rPr>
      </w:pPr>
    </w:p>
    <w:p w:rsidR="008918AB" w:rsidRDefault="008918AB" w:rsidP="008918AB">
      <w:pPr>
        <w:pStyle w:val="p2"/>
        <w:rPr>
          <w:color w:val="000000" w:themeColor="text1"/>
        </w:rPr>
      </w:pPr>
    </w:p>
    <w:p w:rsidR="008918AB" w:rsidRDefault="008918AB" w:rsidP="008918AB">
      <w:pPr>
        <w:pStyle w:val="p2"/>
        <w:rPr>
          <w:color w:val="000000" w:themeColor="text1"/>
        </w:rPr>
      </w:pPr>
    </w:p>
    <w:p w:rsidR="008918AB" w:rsidRDefault="008918AB" w:rsidP="008918AB">
      <w:pPr>
        <w:pStyle w:val="p2"/>
        <w:rPr>
          <w:color w:val="000000" w:themeColor="text1"/>
        </w:rPr>
      </w:pPr>
    </w:p>
    <w:p w:rsidR="008918AB" w:rsidRDefault="008918AB" w:rsidP="008918AB">
      <w:pPr>
        <w:pStyle w:val="p2"/>
        <w:rPr>
          <w:color w:val="000000" w:themeColor="text1"/>
        </w:rPr>
      </w:pPr>
    </w:p>
    <w:p w:rsidR="008918AB" w:rsidRDefault="008918AB" w:rsidP="008918AB">
      <w:pPr>
        <w:pStyle w:val="p2"/>
        <w:rPr>
          <w:color w:val="000000" w:themeColor="text1"/>
        </w:rPr>
      </w:pPr>
    </w:p>
    <w:p w:rsidR="008918AB" w:rsidRDefault="008918AB" w:rsidP="008918AB">
      <w:pPr>
        <w:pStyle w:val="p2"/>
        <w:rPr>
          <w:color w:val="000000" w:themeColor="text1"/>
        </w:rPr>
      </w:pPr>
    </w:p>
    <w:p w:rsidR="008918AB" w:rsidRDefault="008918AB" w:rsidP="008918AB">
      <w:pPr>
        <w:pStyle w:val="p2"/>
        <w:rPr>
          <w:color w:val="000000" w:themeColor="text1"/>
        </w:rPr>
      </w:pPr>
    </w:p>
    <w:p w:rsidR="008918AB" w:rsidRDefault="008918AB" w:rsidP="008918AB">
      <w:pPr>
        <w:pStyle w:val="p2"/>
        <w:rPr>
          <w:color w:val="000000" w:themeColor="text1"/>
        </w:rPr>
      </w:pPr>
    </w:p>
    <w:p w:rsidR="008918AB" w:rsidRDefault="008918AB" w:rsidP="008918AB">
      <w:pPr>
        <w:pStyle w:val="p2"/>
        <w:rPr>
          <w:color w:val="000000" w:themeColor="text1"/>
        </w:rPr>
      </w:pPr>
    </w:p>
    <w:p w:rsidR="008918AB" w:rsidRDefault="008918AB" w:rsidP="008918AB">
      <w:pPr>
        <w:pStyle w:val="p2"/>
        <w:rPr>
          <w:color w:val="000000" w:themeColor="text1"/>
        </w:rPr>
      </w:pPr>
    </w:p>
    <w:p w:rsidR="008918AB" w:rsidRDefault="008918AB" w:rsidP="008918AB">
      <w:pPr>
        <w:pStyle w:val="p2"/>
        <w:rPr>
          <w:b/>
          <w:bCs/>
          <w:color w:val="000000" w:themeColor="text1"/>
          <w:lang w:val="en-US"/>
        </w:rPr>
      </w:pPr>
      <w:r w:rsidRPr="00B370F4">
        <w:rPr>
          <w:b/>
          <w:bCs/>
          <w:color w:val="000000" w:themeColor="text1"/>
          <w:lang w:val="en-US"/>
        </w:rPr>
        <w:t xml:space="preserve">Anthony </w:t>
      </w:r>
      <w:proofErr w:type="spellStart"/>
      <w:r w:rsidRPr="00B370F4">
        <w:rPr>
          <w:b/>
          <w:bCs/>
          <w:color w:val="000000" w:themeColor="text1"/>
          <w:lang w:val="en-US"/>
        </w:rPr>
        <w:t>Vondoom</w:t>
      </w:r>
      <w:proofErr w:type="spellEnd"/>
    </w:p>
    <w:p w:rsidR="00B370F4" w:rsidRPr="00B370F4" w:rsidRDefault="00B370F4" w:rsidP="008918AB">
      <w:pPr>
        <w:pStyle w:val="p2"/>
        <w:rPr>
          <w:b/>
          <w:bCs/>
          <w:color w:val="000000" w:themeColor="text1"/>
          <w:lang w:val="en-US"/>
        </w:rPr>
      </w:pPr>
      <w:r>
        <w:rPr>
          <w:b/>
          <w:bCs/>
          <w:color w:val="000000" w:themeColor="text1"/>
          <w:lang w:val="en-US"/>
        </w:rPr>
        <w:t>Preprint</w:t>
      </w:r>
      <w:r w:rsidR="00CC27F1">
        <w:rPr>
          <w:b/>
          <w:bCs/>
          <w:color w:val="000000" w:themeColor="text1"/>
          <w:lang w:val="en-US"/>
        </w:rPr>
        <w:t xml:space="preserve"> </w:t>
      </w:r>
      <w:hyperlink r:id="rId5" w:history="1">
        <w:r w:rsidR="00CC27F1" w:rsidRPr="00CC27F1">
          <w:rPr>
            <w:rStyle w:val="Hyperlink"/>
            <w:b/>
            <w:bCs/>
            <w:lang w:val="en-US"/>
          </w:rPr>
          <w:t>https://doi.org/10.6084/m9.figshare.31119475</w:t>
        </w:r>
      </w:hyperlink>
    </w:p>
    <w:p w:rsidR="008918AB" w:rsidRDefault="008918AB" w:rsidP="008918AB">
      <w:pPr>
        <w:pStyle w:val="p2"/>
        <w:rPr>
          <w:color w:val="000000" w:themeColor="text1"/>
        </w:rPr>
      </w:pPr>
    </w:p>
    <w:p w:rsidR="008918AB" w:rsidRPr="008918AB" w:rsidRDefault="008918AB" w:rsidP="008918AB">
      <w:pPr>
        <w:pStyle w:val="p2"/>
        <w:rPr>
          <w:color w:val="000000" w:themeColor="text1"/>
        </w:rPr>
      </w:pPr>
    </w:p>
    <w:p w:rsidR="008918AB" w:rsidRPr="008918AB" w:rsidRDefault="008918AB" w:rsidP="008918AB">
      <w:pPr>
        <w:pStyle w:val="Heading2"/>
        <w:rPr>
          <w:rFonts w:ascii="Times New Roman" w:hAnsi="Times New Roman" w:cs="Times New Roman"/>
          <w:b/>
          <w:bCs/>
          <w:i/>
          <w:iCs/>
          <w:color w:val="000000" w:themeColor="text1"/>
          <w:sz w:val="28"/>
          <w:szCs w:val="28"/>
        </w:rPr>
      </w:pPr>
      <w:r w:rsidRPr="008918AB">
        <w:rPr>
          <w:rFonts w:ascii="Times New Roman" w:hAnsi="Times New Roman" w:cs="Times New Roman"/>
          <w:b/>
          <w:bCs/>
          <w:i/>
          <w:iCs/>
          <w:color w:val="000000" w:themeColor="text1"/>
          <w:sz w:val="28"/>
          <w:szCs w:val="28"/>
        </w:rPr>
        <w:lastRenderedPageBreak/>
        <w:t>Abstract</w:t>
      </w:r>
    </w:p>
    <w:p w:rsidR="008918AB" w:rsidRPr="008918AB" w:rsidRDefault="008918AB" w:rsidP="008918AB">
      <w:pPr>
        <w:pStyle w:val="p3"/>
        <w:ind w:firstLine="720"/>
        <w:rPr>
          <w:color w:val="000000" w:themeColor="text1"/>
        </w:rPr>
      </w:pPr>
      <w:r w:rsidRPr="008918AB">
        <w:rPr>
          <w:color w:val="000000" w:themeColor="text1"/>
        </w:rPr>
        <w:t>The 12,000-year-old clay figurine of a woman and a goose from the Late Epipaleolithic Natufian site of Nahal Ein Gev II (NEG II, northern Israel) represents a landmark in early symbolic expression. By applying the Deep Symbolic Systems Model (DSSM), this paper examines how the figurine embodies mnemonic architectures, symbolic stabilization, externalized cognition, distributed symbolic authority, and empirically grounded observables in prehistoric material culture. Drawing on the artifact’s morphology, context, and analytical data, this study frames the NEG II figurine as a durable embodiment of narrative, mythic agency, and shared symbolic practice at a critical threshold between mobile foraging and sedentary village life. Comparative analysis with other Natufian figurines and regional Epipaleolithic symbolic materials situates the artifact within a broader trajectory of cognitive and social innovation. The results demonstrate that Late Epipaleolithic symbolic systems were more complex and coherent than previously recognized, with implications for understanding cognitive and social evolution before the Neolithic.</w:t>
      </w: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Pr="008918AB" w:rsidRDefault="008918AB" w:rsidP="008918AB">
      <w:pPr>
        <w:rPr>
          <w:rStyle w:val="s1"/>
          <w:rFonts w:ascii="Times New Roman" w:hAnsi="Times New Roman" w:cs="Times New Roman"/>
          <w:color w:val="000000" w:themeColor="text1"/>
        </w:rPr>
      </w:pPr>
    </w:p>
    <w:p w:rsidR="008918AB" w:rsidRPr="008918AB" w:rsidRDefault="008918AB" w:rsidP="008918AB">
      <w:pPr>
        <w:pStyle w:val="Heading2"/>
        <w:rPr>
          <w:rFonts w:ascii="Times New Roman" w:hAnsi="Times New Roman" w:cs="Times New Roman"/>
          <w:b/>
          <w:bCs/>
          <w:i/>
          <w:iCs/>
          <w:color w:val="000000" w:themeColor="text1"/>
          <w:sz w:val="28"/>
          <w:szCs w:val="28"/>
        </w:rPr>
      </w:pPr>
      <w:r w:rsidRPr="008918AB">
        <w:rPr>
          <w:rFonts w:ascii="Times New Roman" w:hAnsi="Times New Roman" w:cs="Times New Roman"/>
          <w:b/>
          <w:bCs/>
          <w:i/>
          <w:iCs/>
          <w:color w:val="000000" w:themeColor="text1"/>
          <w:sz w:val="28"/>
          <w:szCs w:val="28"/>
        </w:rPr>
        <w:lastRenderedPageBreak/>
        <w:t>Introduction</w:t>
      </w:r>
    </w:p>
    <w:p w:rsidR="008918AB" w:rsidRPr="008918AB" w:rsidRDefault="008918AB" w:rsidP="008918AB">
      <w:pPr>
        <w:pStyle w:val="p3"/>
        <w:ind w:firstLine="720"/>
        <w:rPr>
          <w:color w:val="000000" w:themeColor="text1"/>
        </w:rPr>
      </w:pPr>
      <w:r w:rsidRPr="008918AB">
        <w:rPr>
          <w:color w:val="000000" w:themeColor="text1"/>
        </w:rPr>
        <w:t>The transition from mobile hunting-gathering to more sedentary lifeways in Southwest Asia is marked not only by economic and architectural change but also by increasingly rich expressions of symbolic thought. Among these, the NEG II woman–goose clay figurine stands out as a uniquely expressive object: it is both the earliest known figurine depicting human–animal interaction in the region and the earliest naturalistic depiction of a woman in Southwest Asian prehistory.</w:t>
      </w:r>
    </w:p>
    <w:p w:rsidR="008918AB" w:rsidRPr="008918AB" w:rsidRDefault="008918AB" w:rsidP="008918AB">
      <w:pPr>
        <w:pStyle w:val="p3"/>
        <w:rPr>
          <w:color w:val="000000" w:themeColor="text1"/>
        </w:rPr>
      </w:pPr>
      <w:r w:rsidRPr="008918AB">
        <w:rPr>
          <w:color w:val="000000" w:themeColor="text1"/>
        </w:rPr>
        <w:t>Previous interpretations of Natufian symbolic materials emphasized geometric motifs, stylized human figures, and abstract iconography. Figurines from contemporaneous sites such as Ain Mallaha, Eynan, and Jericho predominantly exhibit stylized or schematic forms. In contrast, the NEG II figurine’s explicit relational composition — a human paired with a nonhuman animal in an imagined or mythological encounter — demonstrates narrative and compositional complexity that exceeds earlier symbolic repertoires in the region.</w:t>
      </w:r>
    </w:p>
    <w:p w:rsidR="008918AB" w:rsidRPr="008918AB" w:rsidRDefault="008918AB" w:rsidP="008918AB">
      <w:pPr>
        <w:pStyle w:val="p3"/>
        <w:rPr>
          <w:color w:val="000000" w:themeColor="text1"/>
        </w:rPr>
      </w:pPr>
      <w:r w:rsidRPr="008918AB">
        <w:rPr>
          <w:color w:val="000000" w:themeColor="text1"/>
        </w:rPr>
        <w:t>To integrate its significance into modern theoretical frameworks, we apply the Deep Symbolic Systems Model (DSSM). DSSM proposes that symbolic systems stabilize and propagate through durable mnemonic architectures, patterned variation, materialized cognition, shared authority, and measurable archaeological signatures. This approach allows systematic assessment of how objects like the NEG II figurine encode, regulate, and transmit symbolic meaning in prehistoric communities while situating it within broader Natufian and regional symbolic traditions.</w:t>
      </w: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Default="008918AB" w:rsidP="008918AB">
      <w:pPr>
        <w:rPr>
          <w:rStyle w:val="s1"/>
          <w:rFonts w:ascii="Times New Roman" w:hAnsi="Times New Roman" w:cs="Times New Roman"/>
          <w:color w:val="000000" w:themeColor="text1"/>
        </w:rPr>
      </w:pPr>
    </w:p>
    <w:p w:rsidR="008918AB" w:rsidRPr="008918AB" w:rsidRDefault="008918AB" w:rsidP="008918AB">
      <w:pPr>
        <w:rPr>
          <w:rStyle w:val="s1"/>
          <w:rFonts w:ascii="Times New Roman" w:hAnsi="Times New Roman" w:cs="Times New Roman"/>
          <w:color w:val="000000" w:themeColor="text1"/>
        </w:rPr>
      </w:pPr>
    </w:p>
    <w:p w:rsidR="008918AB" w:rsidRPr="008918AB" w:rsidRDefault="008918AB" w:rsidP="008918AB">
      <w:pPr>
        <w:pStyle w:val="Heading2"/>
        <w:rPr>
          <w:rFonts w:ascii="Times New Roman" w:hAnsi="Times New Roman" w:cs="Times New Roman"/>
          <w:b/>
          <w:bCs/>
          <w:i/>
          <w:iCs/>
          <w:color w:val="000000" w:themeColor="text1"/>
          <w:sz w:val="28"/>
          <w:szCs w:val="28"/>
        </w:rPr>
      </w:pPr>
      <w:r w:rsidRPr="008918AB">
        <w:rPr>
          <w:rFonts w:ascii="Times New Roman" w:hAnsi="Times New Roman" w:cs="Times New Roman"/>
          <w:b/>
          <w:bCs/>
          <w:i/>
          <w:iCs/>
          <w:color w:val="000000" w:themeColor="text1"/>
          <w:sz w:val="28"/>
          <w:szCs w:val="28"/>
        </w:rPr>
        <w:lastRenderedPageBreak/>
        <w:t>1. Site Context and Artifact Summary</w:t>
      </w:r>
    </w:p>
    <w:p w:rsidR="008918AB" w:rsidRPr="008918AB" w:rsidRDefault="008918AB" w:rsidP="008918AB">
      <w:pPr>
        <w:pStyle w:val="p3"/>
        <w:ind w:firstLine="720"/>
        <w:rPr>
          <w:color w:val="000000" w:themeColor="text1"/>
        </w:rPr>
      </w:pPr>
      <w:r w:rsidRPr="008918AB">
        <w:rPr>
          <w:color w:val="000000" w:themeColor="text1"/>
        </w:rPr>
        <w:t>The figurine was recovered from Nahal Ein Gev II (NEG II), a Late Natufian settlement overlooking the Sea of Galilee, dating to approximately 12,000 cal BP. Excavations revealed dense architectural features, burials, ritual deposits, and diverse material culture, situating the site at the dynamic edge of the Epipaleolithic–Neolithic transition.</w:t>
      </w:r>
    </w:p>
    <w:p w:rsidR="008918AB" w:rsidRPr="008918AB" w:rsidRDefault="008918AB" w:rsidP="008918AB">
      <w:pPr>
        <w:pStyle w:val="p3"/>
        <w:rPr>
          <w:color w:val="000000" w:themeColor="text1"/>
        </w:rPr>
      </w:pPr>
      <w:r w:rsidRPr="008918AB">
        <w:rPr>
          <w:color w:val="000000" w:themeColor="text1"/>
        </w:rPr>
        <w:t>The artifact itself measures 37 mm in height and was modeled from a single block of locally sourced clay. It was fired at approximately 400 °C after careful drying, as indicated by Fourier Transform Infrared Spectroscopy (FTIR) analyses, and bears traces of red pigment on both the human and avian figures.</w:t>
      </w:r>
    </w:p>
    <w:p w:rsidR="008918AB" w:rsidRPr="008918AB" w:rsidRDefault="008918AB" w:rsidP="008918AB">
      <w:pPr>
        <w:pStyle w:val="p3"/>
        <w:rPr>
          <w:color w:val="000000" w:themeColor="text1"/>
        </w:rPr>
      </w:pPr>
      <w:r w:rsidRPr="008918AB">
        <w:rPr>
          <w:color w:val="000000" w:themeColor="text1"/>
        </w:rPr>
        <w:t>Microscopic analyses confirmed modeling marks and finger impressions, including a preserved partial fingerprint. Comparative ridge density suggests the artisan may have been a young adult or adult female, providing rare insight into the demographic profile of prehistoric craft production.</w:t>
      </w:r>
    </w:p>
    <w:p w:rsidR="008918AB" w:rsidRPr="008918AB" w:rsidRDefault="008918AB" w:rsidP="008918AB">
      <w:pPr>
        <w:pStyle w:val="p3"/>
        <w:rPr>
          <w:color w:val="000000" w:themeColor="text1"/>
        </w:rPr>
      </w:pPr>
      <w:r w:rsidRPr="008918AB">
        <w:rPr>
          <w:color w:val="000000" w:themeColor="text1"/>
        </w:rPr>
        <w:t>The figurine was found within a semicircular stone structure (Building 5) containing burial deposits and associated ritual items, emphasizing its social and symbolic context. Comparative analysis indicates that similar deposition practices occurred at other Natufian sites, such as Eynan and Jericho, where figurines were often associated with ritual or funerary contexts, highlighting a shared regional pattern of symbolic embedding.</w:t>
      </w:r>
    </w:p>
    <w:p w:rsidR="008918AB" w:rsidRPr="008918AB" w:rsidRDefault="008918AB" w:rsidP="008918AB">
      <w:pPr>
        <w:rPr>
          <w:rStyle w:val="s1"/>
          <w:rFonts w:ascii="Times New Roman" w:hAnsi="Times New Roman" w:cs="Times New Roman"/>
          <w:color w:val="000000" w:themeColor="text1"/>
        </w:rPr>
      </w:pPr>
    </w:p>
    <w:p w:rsidR="008918AB" w:rsidRPr="008918AB" w:rsidRDefault="008918AB" w:rsidP="008918AB">
      <w:pPr>
        <w:pStyle w:val="Heading2"/>
        <w:rPr>
          <w:rFonts w:ascii="Times New Roman" w:hAnsi="Times New Roman" w:cs="Times New Roman"/>
          <w:b/>
          <w:bCs/>
          <w:i/>
          <w:iCs/>
          <w:color w:val="000000" w:themeColor="text1"/>
          <w:sz w:val="28"/>
          <w:szCs w:val="28"/>
        </w:rPr>
      </w:pPr>
      <w:r w:rsidRPr="008918AB">
        <w:rPr>
          <w:rFonts w:ascii="Times New Roman" w:hAnsi="Times New Roman" w:cs="Times New Roman"/>
          <w:b/>
          <w:bCs/>
          <w:i/>
          <w:iCs/>
          <w:color w:val="000000" w:themeColor="text1"/>
          <w:sz w:val="28"/>
          <w:szCs w:val="28"/>
        </w:rPr>
        <w:t>2. Mnemonic Architectures in the NEG II Figurine</w:t>
      </w:r>
    </w:p>
    <w:p w:rsidR="008918AB" w:rsidRPr="008918AB" w:rsidRDefault="008918AB" w:rsidP="008918AB">
      <w:pPr>
        <w:pStyle w:val="p3"/>
        <w:ind w:firstLine="720"/>
        <w:rPr>
          <w:color w:val="000000" w:themeColor="text1"/>
        </w:rPr>
      </w:pPr>
      <w:r w:rsidRPr="008918AB">
        <w:rPr>
          <w:color w:val="000000" w:themeColor="text1"/>
        </w:rPr>
        <w:t>Mnemonic architectures are material forms that encode and externalize culturally significant information, enabling intergenerational memory and facilitating learning. Within DSSM, these architectures link spatial, narrative, and cognitive elements into cohesive, durable templates for collective recall.</w:t>
      </w:r>
    </w:p>
    <w:p w:rsidR="008918AB" w:rsidRPr="008918AB" w:rsidRDefault="008918AB" w:rsidP="008918AB">
      <w:pPr>
        <w:pStyle w:val="p3"/>
        <w:rPr>
          <w:color w:val="000000" w:themeColor="text1"/>
        </w:rPr>
      </w:pPr>
      <w:r w:rsidRPr="008918AB">
        <w:rPr>
          <w:color w:val="000000" w:themeColor="text1"/>
        </w:rPr>
        <w:t>The NEG II figurine functions as a narrative mnemonic by externalizing a specific relational scene — a human figure engaged with a goose. This scene encodes a relational event, potentially mythic or cosmological in nature, exceeding the schematic representations found at contemporaneous sites such as Ain Mallaha. Three-dimensional modeling, attention to posture, and perspective reinforce the narrative aspect.</w:t>
      </w:r>
    </w:p>
    <w:p w:rsidR="008918AB" w:rsidRPr="008918AB" w:rsidRDefault="008918AB" w:rsidP="008918AB">
      <w:pPr>
        <w:pStyle w:val="p3"/>
        <w:rPr>
          <w:color w:val="000000" w:themeColor="text1"/>
        </w:rPr>
      </w:pPr>
      <w:r w:rsidRPr="008918AB">
        <w:rPr>
          <w:color w:val="000000" w:themeColor="text1"/>
        </w:rPr>
        <w:t>Deliberate firing indicates intentional durability, contrasting with ephemeral decorations or perishable objects. Its placement near burial contexts anchors it to communal memory systems embedded in place and ritual practice. In this way, the figurine operates as a mnemonic anchor linking ecological knowledge, mythic narrative, and collective social memory.</w:t>
      </w:r>
    </w:p>
    <w:p w:rsidR="008918AB" w:rsidRPr="008918AB" w:rsidRDefault="008918AB" w:rsidP="008918AB">
      <w:pPr>
        <w:rPr>
          <w:rStyle w:val="s1"/>
          <w:rFonts w:ascii="Times New Roman" w:hAnsi="Times New Roman" w:cs="Times New Roman"/>
          <w:color w:val="000000" w:themeColor="text1"/>
        </w:rPr>
      </w:pPr>
    </w:p>
    <w:p w:rsidR="008918AB" w:rsidRPr="008918AB" w:rsidRDefault="008918AB" w:rsidP="008918AB">
      <w:pPr>
        <w:pStyle w:val="Heading2"/>
        <w:rPr>
          <w:rFonts w:ascii="Times New Roman" w:hAnsi="Times New Roman" w:cs="Times New Roman"/>
          <w:b/>
          <w:bCs/>
          <w:i/>
          <w:iCs/>
          <w:color w:val="000000" w:themeColor="text1"/>
          <w:sz w:val="28"/>
          <w:szCs w:val="28"/>
        </w:rPr>
      </w:pPr>
      <w:r w:rsidRPr="008918AB">
        <w:rPr>
          <w:rFonts w:ascii="Times New Roman" w:hAnsi="Times New Roman" w:cs="Times New Roman"/>
          <w:b/>
          <w:bCs/>
          <w:i/>
          <w:iCs/>
          <w:color w:val="000000" w:themeColor="text1"/>
          <w:sz w:val="28"/>
          <w:szCs w:val="28"/>
        </w:rPr>
        <w:t>3. Symbolic Stabilization and Variation</w:t>
      </w:r>
    </w:p>
    <w:p w:rsidR="008918AB" w:rsidRPr="008918AB" w:rsidRDefault="008918AB" w:rsidP="008918AB">
      <w:pPr>
        <w:pStyle w:val="p3"/>
        <w:ind w:firstLine="720"/>
        <w:rPr>
          <w:color w:val="000000" w:themeColor="text1"/>
        </w:rPr>
      </w:pPr>
      <w:r w:rsidRPr="008918AB">
        <w:rPr>
          <w:color w:val="000000" w:themeColor="text1"/>
        </w:rPr>
        <w:t>Symbolic stabilization refers to the reinforcement of symbolic forms over time, allowing them to persist despite variability in production and context.</w:t>
      </w:r>
    </w:p>
    <w:p w:rsidR="008918AB" w:rsidRPr="008918AB" w:rsidRDefault="008918AB" w:rsidP="008918AB">
      <w:pPr>
        <w:pStyle w:val="p3"/>
        <w:rPr>
          <w:color w:val="000000" w:themeColor="text1"/>
        </w:rPr>
      </w:pPr>
      <w:r w:rsidRPr="008918AB">
        <w:rPr>
          <w:color w:val="000000" w:themeColor="text1"/>
        </w:rPr>
        <w:t>The NEG II figurine exhibits morphological consistency across components: human anatomy, bird morphology, and the relational scene itself differ markedly from the abstraction typical of earlier Natufian and regional Epipaleolithic figurines. Production techniques — modeling marks, controlled firing, pigment application, and a preserved fingerprint — indicate adherence to standardized conventions, signaling intentional stabilization rather than ad hoc creativity.</w:t>
      </w:r>
    </w:p>
    <w:p w:rsidR="008918AB" w:rsidRPr="008918AB" w:rsidRDefault="008918AB" w:rsidP="008918AB">
      <w:pPr>
        <w:pStyle w:val="p3"/>
        <w:rPr>
          <w:color w:val="000000" w:themeColor="text1"/>
        </w:rPr>
      </w:pPr>
      <w:r w:rsidRPr="008918AB">
        <w:rPr>
          <w:color w:val="000000" w:themeColor="text1"/>
        </w:rPr>
        <w:lastRenderedPageBreak/>
        <w:t>The choice of subject matter — a human and animal interaction — represents a symbolic innovation within the Natufian repertoire. Comparative evidence from Ain Mallaha, Jericho, and Kfar HaHoresh shows that relational imagery, while rare, becomes increasingly visible during the Late Natufian, suggesting the emergence of a broader stabilized symbolic grammar across the southern Levant.</w:t>
      </w:r>
    </w:p>
    <w:p w:rsidR="008918AB" w:rsidRPr="008918AB" w:rsidRDefault="008918AB" w:rsidP="008918AB">
      <w:pPr>
        <w:rPr>
          <w:rStyle w:val="s1"/>
          <w:rFonts w:ascii="Times New Roman" w:hAnsi="Times New Roman" w:cs="Times New Roman"/>
          <w:color w:val="000000" w:themeColor="text1"/>
        </w:rPr>
      </w:pPr>
    </w:p>
    <w:p w:rsidR="008918AB" w:rsidRPr="008918AB" w:rsidRDefault="008918AB" w:rsidP="008918AB">
      <w:pPr>
        <w:pStyle w:val="Heading2"/>
        <w:rPr>
          <w:rFonts w:ascii="Times New Roman" w:hAnsi="Times New Roman" w:cs="Times New Roman"/>
          <w:b/>
          <w:bCs/>
          <w:i/>
          <w:iCs/>
          <w:color w:val="000000" w:themeColor="text1"/>
          <w:sz w:val="28"/>
          <w:szCs w:val="28"/>
        </w:rPr>
      </w:pPr>
      <w:r w:rsidRPr="008918AB">
        <w:rPr>
          <w:rFonts w:ascii="Times New Roman" w:hAnsi="Times New Roman" w:cs="Times New Roman"/>
          <w:b/>
          <w:bCs/>
          <w:i/>
          <w:iCs/>
          <w:color w:val="000000" w:themeColor="text1"/>
          <w:sz w:val="28"/>
          <w:szCs w:val="28"/>
        </w:rPr>
        <w:t>4. Externalized Cognition</w:t>
      </w:r>
    </w:p>
    <w:p w:rsidR="008918AB" w:rsidRPr="008918AB" w:rsidRDefault="008918AB" w:rsidP="008918AB">
      <w:pPr>
        <w:pStyle w:val="p3"/>
        <w:ind w:firstLine="720"/>
        <w:rPr>
          <w:color w:val="000000" w:themeColor="text1"/>
        </w:rPr>
      </w:pPr>
      <w:r w:rsidRPr="008918AB">
        <w:rPr>
          <w:color w:val="000000" w:themeColor="text1"/>
        </w:rPr>
        <w:t>Externalized cognition denotes the materialization of cognitive processes outside individual minds, embedded within durable artefacts.</w:t>
      </w:r>
    </w:p>
    <w:p w:rsidR="008918AB" w:rsidRPr="008918AB" w:rsidRDefault="008918AB" w:rsidP="008918AB">
      <w:pPr>
        <w:pStyle w:val="p3"/>
        <w:rPr>
          <w:color w:val="000000" w:themeColor="text1"/>
        </w:rPr>
      </w:pPr>
      <w:r w:rsidRPr="008918AB">
        <w:rPr>
          <w:color w:val="000000" w:themeColor="text1"/>
        </w:rPr>
        <w:t>The figurine’s spatial arrangement, surface modeling, and use of light and shadow suggest that the artisan encoded relational and ecological knowledge directly into the object. Geese held ecological, economic, and ritual significance at NEG II, as reflected in faunal remains and decorative motifs. By portraying a live bird, the figurine externalizes a relational worldview rather than a purely subsistence narrative.</w:t>
      </w:r>
    </w:p>
    <w:p w:rsidR="008918AB" w:rsidRPr="008918AB" w:rsidRDefault="008918AB" w:rsidP="008918AB">
      <w:pPr>
        <w:pStyle w:val="p3"/>
        <w:rPr>
          <w:color w:val="000000" w:themeColor="text1"/>
        </w:rPr>
      </w:pPr>
      <w:r w:rsidRPr="008918AB">
        <w:rPr>
          <w:color w:val="000000" w:themeColor="text1"/>
        </w:rPr>
        <w:t>Regional parallels, such as bird representations in Levantine art at Wadi Hammeh 27, reinforce the idea that externalized cognition through symbolic objects was a recognizable pattern within Epipaleolithic societies.</w:t>
      </w:r>
    </w:p>
    <w:p w:rsidR="008918AB" w:rsidRPr="008918AB" w:rsidRDefault="008918AB" w:rsidP="008918AB">
      <w:pPr>
        <w:rPr>
          <w:rStyle w:val="s1"/>
          <w:rFonts w:ascii="Times New Roman" w:hAnsi="Times New Roman" w:cs="Times New Roman"/>
          <w:color w:val="000000" w:themeColor="text1"/>
        </w:rPr>
      </w:pPr>
    </w:p>
    <w:p w:rsidR="008918AB" w:rsidRPr="008918AB" w:rsidRDefault="008918AB" w:rsidP="008918AB">
      <w:pPr>
        <w:pStyle w:val="Heading2"/>
        <w:rPr>
          <w:rFonts w:ascii="Times New Roman" w:hAnsi="Times New Roman" w:cs="Times New Roman"/>
          <w:b/>
          <w:bCs/>
          <w:i/>
          <w:iCs/>
          <w:color w:val="000000" w:themeColor="text1"/>
          <w:sz w:val="28"/>
          <w:szCs w:val="28"/>
        </w:rPr>
      </w:pPr>
      <w:r w:rsidRPr="008918AB">
        <w:rPr>
          <w:rFonts w:ascii="Times New Roman" w:hAnsi="Times New Roman" w:cs="Times New Roman"/>
          <w:b/>
          <w:bCs/>
          <w:i/>
          <w:iCs/>
          <w:color w:val="000000" w:themeColor="text1"/>
          <w:sz w:val="28"/>
          <w:szCs w:val="28"/>
        </w:rPr>
        <w:t>5. Distributed Symbolic Authority</w:t>
      </w:r>
    </w:p>
    <w:p w:rsidR="008918AB" w:rsidRPr="008918AB" w:rsidRDefault="008918AB" w:rsidP="008918AB">
      <w:pPr>
        <w:pStyle w:val="p3"/>
        <w:ind w:firstLine="720"/>
        <w:rPr>
          <w:color w:val="000000" w:themeColor="text1"/>
        </w:rPr>
      </w:pPr>
      <w:r w:rsidRPr="008918AB">
        <w:rPr>
          <w:color w:val="000000" w:themeColor="text1"/>
        </w:rPr>
        <w:t>Within DSSM, distributed symbolic authority arises when material forms are recognized, interpreted, and validated by multiple community members.</w:t>
      </w:r>
    </w:p>
    <w:p w:rsidR="008918AB" w:rsidRPr="008918AB" w:rsidRDefault="008918AB" w:rsidP="008918AB">
      <w:pPr>
        <w:pStyle w:val="p3"/>
        <w:rPr>
          <w:color w:val="000000" w:themeColor="text1"/>
        </w:rPr>
      </w:pPr>
      <w:r w:rsidRPr="008918AB">
        <w:rPr>
          <w:color w:val="000000" w:themeColor="text1"/>
        </w:rPr>
        <w:t>The NEG II figurine’s find context — a communal structure with curated deposits and burials — indicates public symbolic significance. Standardized morphology and pigment usage reflect shared conventions, consistent with practices observed at Eynan and Jericho. In these contexts, ritualized deposition and repeated motifs demonstrate that symbolic authority was socially distributed, not individually generated, across Natufian communities.</w:t>
      </w:r>
    </w:p>
    <w:p w:rsidR="008918AB" w:rsidRPr="008918AB" w:rsidRDefault="008918AB" w:rsidP="008918AB">
      <w:pPr>
        <w:pStyle w:val="Heading2"/>
        <w:rPr>
          <w:rFonts w:ascii="Times New Roman" w:hAnsi="Times New Roman" w:cs="Times New Roman"/>
          <w:b/>
          <w:bCs/>
          <w:i/>
          <w:iCs/>
          <w:color w:val="000000" w:themeColor="text1"/>
          <w:sz w:val="28"/>
          <w:szCs w:val="28"/>
        </w:rPr>
      </w:pPr>
      <w:r w:rsidRPr="008918AB">
        <w:rPr>
          <w:rFonts w:ascii="Times New Roman" w:hAnsi="Times New Roman" w:cs="Times New Roman"/>
          <w:b/>
          <w:bCs/>
          <w:i/>
          <w:iCs/>
          <w:color w:val="000000" w:themeColor="text1"/>
          <w:sz w:val="28"/>
          <w:szCs w:val="28"/>
        </w:rPr>
        <w:t>6. Empirically Grounded Observables</w:t>
      </w:r>
    </w:p>
    <w:p w:rsidR="008918AB" w:rsidRPr="008918AB" w:rsidRDefault="008918AB" w:rsidP="008918AB">
      <w:pPr>
        <w:pStyle w:val="p3"/>
        <w:rPr>
          <w:color w:val="000000" w:themeColor="text1"/>
        </w:rPr>
      </w:pPr>
      <w:r w:rsidRPr="008918AB">
        <w:rPr>
          <w:color w:val="000000" w:themeColor="text1"/>
        </w:rPr>
        <w:t>DSSM emphasizes that symbolic systems must be traceable through measurable, observable evidence. The NEG II figurine is rich in such observables:</w:t>
      </w:r>
    </w:p>
    <w:p w:rsidR="008918AB" w:rsidRPr="008918AB" w:rsidRDefault="008918AB" w:rsidP="008918AB">
      <w:pPr>
        <w:pStyle w:val="p1"/>
        <w:numPr>
          <w:ilvl w:val="0"/>
          <w:numId w:val="4"/>
        </w:numPr>
        <w:rPr>
          <w:color w:val="000000" w:themeColor="text1"/>
        </w:rPr>
      </w:pPr>
      <w:r w:rsidRPr="008918AB">
        <w:rPr>
          <w:rStyle w:val="s1"/>
          <w:b/>
          <w:bCs/>
          <w:color w:val="000000" w:themeColor="text1"/>
        </w:rPr>
        <w:t>Morphology:</w:t>
      </w:r>
      <w:r w:rsidRPr="008918AB">
        <w:rPr>
          <w:color w:val="000000" w:themeColor="text1"/>
        </w:rPr>
        <w:t xml:space="preserve"> Detailed human and goose modeling establishes relational representation and narrative specificity.</w:t>
      </w:r>
    </w:p>
    <w:p w:rsidR="008918AB" w:rsidRPr="008918AB" w:rsidRDefault="008918AB" w:rsidP="008918AB">
      <w:pPr>
        <w:pStyle w:val="p1"/>
        <w:numPr>
          <w:ilvl w:val="0"/>
          <w:numId w:val="4"/>
        </w:numPr>
        <w:rPr>
          <w:color w:val="000000" w:themeColor="text1"/>
        </w:rPr>
      </w:pPr>
      <w:r w:rsidRPr="008918AB">
        <w:rPr>
          <w:rStyle w:val="s1"/>
          <w:b/>
          <w:bCs/>
          <w:color w:val="000000" w:themeColor="text1"/>
        </w:rPr>
        <w:t>Materiality:</w:t>
      </w:r>
      <w:r w:rsidRPr="008918AB">
        <w:rPr>
          <w:color w:val="000000" w:themeColor="text1"/>
        </w:rPr>
        <w:t xml:space="preserve"> Controlled firing (~400 °C) indicates technological competence and intentional durability.</w:t>
      </w:r>
    </w:p>
    <w:p w:rsidR="008918AB" w:rsidRPr="008918AB" w:rsidRDefault="008918AB" w:rsidP="008918AB">
      <w:pPr>
        <w:pStyle w:val="p1"/>
        <w:numPr>
          <w:ilvl w:val="0"/>
          <w:numId w:val="4"/>
        </w:numPr>
        <w:rPr>
          <w:color w:val="000000" w:themeColor="text1"/>
        </w:rPr>
      </w:pPr>
      <w:r w:rsidRPr="008918AB">
        <w:rPr>
          <w:rStyle w:val="s1"/>
          <w:b/>
          <w:bCs/>
          <w:color w:val="000000" w:themeColor="text1"/>
        </w:rPr>
        <w:t>Pigment residues:</w:t>
      </w:r>
      <w:r w:rsidRPr="008918AB">
        <w:rPr>
          <w:color w:val="000000" w:themeColor="text1"/>
        </w:rPr>
        <w:t xml:space="preserve"> Ocher traces confirm deliberate coloration.</w:t>
      </w:r>
    </w:p>
    <w:p w:rsidR="008918AB" w:rsidRPr="008918AB" w:rsidRDefault="008918AB" w:rsidP="008918AB">
      <w:pPr>
        <w:pStyle w:val="p1"/>
        <w:numPr>
          <w:ilvl w:val="0"/>
          <w:numId w:val="4"/>
        </w:numPr>
        <w:rPr>
          <w:color w:val="000000" w:themeColor="text1"/>
        </w:rPr>
      </w:pPr>
      <w:r w:rsidRPr="008918AB">
        <w:rPr>
          <w:rStyle w:val="s1"/>
          <w:b/>
          <w:bCs/>
          <w:color w:val="000000" w:themeColor="text1"/>
        </w:rPr>
        <w:t>Fingerprint ridge patterns:</w:t>
      </w:r>
      <w:r w:rsidRPr="008918AB">
        <w:rPr>
          <w:color w:val="000000" w:themeColor="text1"/>
        </w:rPr>
        <w:t xml:space="preserve"> Epidermal ridge density links individual agency to collective production.</w:t>
      </w:r>
    </w:p>
    <w:p w:rsidR="008918AB" w:rsidRPr="008918AB" w:rsidRDefault="008918AB" w:rsidP="008918AB">
      <w:pPr>
        <w:pStyle w:val="p1"/>
        <w:numPr>
          <w:ilvl w:val="0"/>
          <w:numId w:val="4"/>
        </w:numPr>
        <w:rPr>
          <w:color w:val="000000" w:themeColor="text1"/>
        </w:rPr>
      </w:pPr>
      <w:r w:rsidRPr="008918AB">
        <w:rPr>
          <w:rStyle w:val="s1"/>
          <w:b/>
          <w:bCs/>
          <w:color w:val="000000" w:themeColor="text1"/>
        </w:rPr>
        <w:t>Contextual deposition:</w:t>
      </w:r>
      <w:r w:rsidRPr="008918AB">
        <w:rPr>
          <w:color w:val="000000" w:themeColor="text1"/>
        </w:rPr>
        <w:t xml:space="preserve"> Recovery from ritualized architectural space situates the figurine within ceremonial practice.</w:t>
      </w:r>
    </w:p>
    <w:p w:rsidR="008918AB" w:rsidRPr="008918AB" w:rsidRDefault="008918AB" w:rsidP="008918AB">
      <w:pPr>
        <w:pStyle w:val="p2"/>
        <w:rPr>
          <w:color w:val="000000" w:themeColor="text1"/>
        </w:rPr>
      </w:pPr>
    </w:p>
    <w:p w:rsidR="008918AB" w:rsidRPr="008918AB" w:rsidRDefault="008918AB" w:rsidP="008918AB">
      <w:pPr>
        <w:pStyle w:val="p3"/>
        <w:rPr>
          <w:color w:val="000000" w:themeColor="text1"/>
        </w:rPr>
      </w:pPr>
      <w:r w:rsidRPr="008918AB">
        <w:rPr>
          <w:color w:val="000000" w:themeColor="text1"/>
        </w:rPr>
        <w:t>Comparative evaluation with other regional figurines strengthens the empirical foundation for DSSM application and situates NEG II within wider Late Epipaleolithic symbolic matrices.</w:t>
      </w:r>
    </w:p>
    <w:p w:rsidR="008918AB" w:rsidRPr="008918AB" w:rsidRDefault="008918AB" w:rsidP="008918AB">
      <w:pPr>
        <w:rPr>
          <w:rStyle w:val="s1"/>
          <w:rFonts w:ascii="Times New Roman" w:hAnsi="Times New Roman" w:cs="Times New Roman"/>
          <w:color w:val="000000" w:themeColor="text1"/>
        </w:rPr>
      </w:pPr>
    </w:p>
    <w:p w:rsidR="008918AB" w:rsidRPr="008918AB" w:rsidRDefault="008918AB" w:rsidP="008918AB">
      <w:pPr>
        <w:pStyle w:val="Heading2"/>
        <w:rPr>
          <w:rFonts w:ascii="Times New Roman" w:hAnsi="Times New Roman" w:cs="Times New Roman"/>
          <w:b/>
          <w:bCs/>
          <w:i/>
          <w:iCs/>
          <w:color w:val="000000" w:themeColor="text1"/>
          <w:sz w:val="28"/>
          <w:szCs w:val="28"/>
        </w:rPr>
      </w:pPr>
      <w:r w:rsidRPr="008918AB">
        <w:rPr>
          <w:rFonts w:ascii="Times New Roman" w:hAnsi="Times New Roman" w:cs="Times New Roman"/>
          <w:b/>
          <w:bCs/>
          <w:i/>
          <w:iCs/>
          <w:color w:val="000000" w:themeColor="text1"/>
          <w:sz w:val="28"/>
          <w:szCs w:val="28"/>
        </w:rPr>
        <w:lastRenderedPageBreak/>
        <w:t>Discussion: Toward a Pre-Neolithic Symbolic Matrix</w:t>
      </w:r>
    </w:p>
    <w:p w:rsidR="008918AB" w:rsidRPr="008918AB" w:rsidRDefault="008918AB" w:rsidP="008918AB">
      <w:pPr>
        <w:pStyle w:val="p3"/>
        <w:ind w:firstLine="720"/>
        <w:rPr>
          <w:color w:val="000000" w:themeColor="text1"/>
        </w:rPr>
      </w:pPr>
      <w:r w:rsidRPr="008918AB">
        <w:rPr>
          <w:color w:val="000000" w:themeColor="text1"/>
        </w:rPr>
        <w:t>DSSM application to the NEG II figurine highlights the interplay of material form, cognitive practice, and social recognition. This relational artifact predates fully Neolithic narrative imagery by millennia, demonstrating that symbolic systems stabilized gradually, embedded in durable material and socially distributed. Comparative analysis of contemporaneous Natufian artifacts supports the notion that symbolic stabilization and externalized cognition were widespread across the southern Levant.</w:t>
      </w:r>
    </w:p>
    <w:p w:rsidR="008918AB" w:rsidRPr="008918AB" w:rsidRDefault="008918AB" w:rsidP="008918AB">
      <w:pPr>
        <w:pStyle w:val="p3"/>
        <w:rPr>
          <w:color w:val="000000" w:themeColor="text1"/>
        </w:rPr>
      </w:pPr>
      <w:r w:rsidRPr="008918AB">
        <w:rPr>
          <w:color w:val="000000" w:themeColor="text1"/>
        </w:rPr>
        <w:t>These findings challenge previous assumptions that complex narrative and mythic cognition emerged abruptly with Neolithic social complexity, instead showing continuity and innovation in Late Epipaleolithic symbolic practices.</w:t>
      </w:r>
    </w:p>
    <w:p w:rsidR="008918AB" w:rsidRPr="008918AB" w:rsidRDefault="008918AB" w:rsidP="008918AB">
      <w:pPr>
        <w:rPr>
          <w:rStyle w:val="s1"/>
          <w:rFonts w:ascii="Times New Roman" w:hAnsi="Times New Roman" w:cs="Times New Roman"/>
          <w:color w:val="000000" w:themeColor="text1"/>
        </w:rPr>
      </w:pPr>
    </w:p>
    <w:p w:rsidR="008918AB" w:rsidRPr="008918AB" w:rsidRDefault="008918AB" w:rsidP="008918AB">
      <w:pPr>
        <w:pStyle w:val="Heading2"/>
        <w:rPr>
          <w:rFonts w:ascii="Times New Roman" w:hAnsi="Times New Roman" w:cs="Times New Roman"/>
          <w:b/>
          <w:bCs/>
          <w:i/>
          <w:iCs/>
          <w:color w:val="000000" w:themeColor="text1"/>
          <w:sz w:val="28"/>
          <w:szCs w:val="28"/>
        </w:rPr>
      </w:pPr>
      <w:r w:rsidRPr="008918AB">
        <w:rPr>
          <w:rFonts w:ascii="Times New Roman" w:hAnsi="Times New Roman" w:cs="Times New Roman"/>
          <w:b/>
          <w:bCs/>
          <w:i/>
          <w:iCs/>
          <w:color w:val="000000" w:themeColor="text1"/>
          <w:sz w:val="28"/>
          <w:szCs w:val="28"/>
        </w:rPr>
        <w:t>Conclusion</w:t>
      </w:r>
    </w:p>
    <w:p w:rsidR="008918AB" w:rsidRPr="008918AB" w:rsidRDefault="008918AB" w:rsidP="008918AB">
      <w:pPr>
        <w:pStyle w:val="p3"/>
        <w:ind w:firstLine="720"/>
        <w:rPr>
          <w:color w:val="000000" w:themeColor="text1"/>
        </w:rPr>
      </w:pPr>
      <w:r w:rsidRPr="008918AB">
        <w:rPr>
          <w:color w:val="000000" w:themeColor="text1"/>
          <w:lang w:val="en-US"/>
        </w:rPr>
        <w:t>T</w:t>
      </w:r>
      <w:r w:rsidRPr="008918AB">
        <w:rPr>
          <w:color w:val="000000" w:themeColor="text1"/>
        </w:rPr>
        <w:t>he NEG II woman–goose figurine exemplifies the DSSM framework: durable mnemonic architecture, stabilized symbolic forms, externalized cognition, distributed symbolic authority, and measurable empirical traces.</w:t>
      </w:r>
    </w:p>
    <w:p w:rsidR="008918AB" w:rsidRDefault="008918AB" w:rsidP="008918AB">
      <w:pPr>
        <w:pStyle w:val="p3"/>
        <w:rPr>
          <w:color w:val="000000" w:themeColor="text1"/>
        </w:rPr>
      </w:pPr>
      <w:r w:rsidRPr="008918AB">
        <w:rPr>
          <w:color w:val="000000" w:themeColor="text1"/>
        </w:rPr>
        <w:t>Even before Neolithic organizational innovations, human groups were crafting material embodiments of shared imagination, ecological knowledge, and mythic engagement. Integration of DSSM with comparative archaeological data situates the figurine within a broader Late Epipaleolithic symbolic landscape and underscores the deep temporal roots of human symbolic life.</w:t>
      </w:r>
    </w:p>
    <w:p w:rsidR="008918AB" w:rsidRDefault="008918AB" w:rsidP="008918AB">
      <w:pPr>
        <w:pStyle w:val="p3"/>
        <w:rPr>
          <w:color w:val="000000" w:themeColor="text1"/>
        </w:rPr>
      </w:pPr>
    </w:p>
    <w:p w:rsidR="008918AB" w:rsidRPr="008918AB" w:rsidRDefault="008918AB" w:rsidP="008918AB">
      <w:pPr>
        <w:pStyle w:val="p3"/>
        <w:rPr>
          <w:color w:val="000000" w:themeColor="text1"/>
        </w:rPr>
      </w:pPr>
    </w:p>
    <w:p w:rsidR="008918AB" w:rsidRPr="008918AB" w:rsidRDefault="008C400B" w:rsidP="008918AB">
      <w:pPr>
        <w:rPr>
          <w:rStyle w:val="s1"/>
          <w:rFonts w:ascii="Times New Roman" w:hAnsi="Times New Roman" w:cs="Times New Roman"/>
          <w:color w:val="000000" w:themeColor="text1"/>
        </w:rPr>
      </w:pPr>
      <w:r>
        <w:rPr>
          <w:rStyle w:val="s1"/>
          <w:rFonts w:ascii="Times New Roman" w:hAnsi="Times New Roman" w:cs="Times New Roman"/>
          <w:noProof/>
          <w:color w:val="000000" w:themeColor="text1"/>
        </w:rPr>
        <w:pict>
          <v:rect id="_x0000_i1026" alt="" style="width:451.3pt;height:.05pt;mso-width-percent:0;mso-height-percent:0;mso-width-percent:0;mso-height-percent:0" o:hralign="center" o:hrstd="t" o:hr="t" fillcolor="#a0a0a0" stroked="f"/>
        </w:pict>
      </w:r>
    </w:p>
    <w:p w:rsidR="008918AB" w:rsidRPr="008918AB" w:rsidRDefault="008918AB" w:rsidP="008918AB">
      <w:pPr>
        <w:pStyle w:val="Heading2"/>
        <w:rPr>
          <w:rFonts w:ascii="Times New Roman" w:hAnsi="Times New Roman" w:cs="Times New Roman"/>
          <w:color w:val="000000" w:themeColor="text1"/>
          <w:sz w:val="28"/>
          <w:szCs w:val="28"/>
        </w:rPr>
      </w:pPr>
      <w:r w:rsidRPr="008918AB">
        <w:rPr>
          <w:rFonts w:ascii="Times New Roman" w:hAnsi="Times New Roman" w:cs="Times New Roman"/>
          <w:color w:val="000000" w:themeColor="text1"/>
          <w:sz w:val="28"/>
          <w:szCs w:val="28"/>
        </w:rPr>
        <w:t>References</w:t>
      </w:r>
    </w:p>
    <w:p w:rsidR="008918AB" w:rsidRPr="008918AB" w:rsidRDefault="008918AB" w:rsidP="008918AB">
      <w:pPr>
        <w:pStyle w:val="p3"/>
        <w:numPr>
          <w:ilvl w:val="0"/>
          <w:numId w:val="5"/>
        </w:numPr>
        <w:rPr>
          <w:color w:val="000000" w:themeColor="text1"/>
        </w:rPr>
      </w:pPr>
      <w:r w:rsidRPr="008918AB">
        <w:rPr>
          <w:color w:val="000000" w:themeColor="text1"/>
        </w:rPr>
        <w:t xml:space="preserve">Davin, L., Munro, N. D., &amp; Grosman, L. (2025). A 12,000 year old clay figurine of a woman and a goose marks symbolic innovations in Southwest Asia. </w:t>
      </w:r>
      <w:r w:rsidRPr="008918AB">
        <w:rPr>
          <w:i/>
          <w:iCs/>
          <w:color w:val="000000" w:themeColor="text1"/>
        </w:rPr>
        <w:t>Proceedings of the National Academy of Sciences</w:t>
      </w:r>
      <w:r w:rsidRPr="008918AB">
        <w:rPr>
          <w:color w:val="000000" w:themeColor="text1"/>
        </w:rPr>
        <w:t>, 122(47), e2517509122.</w:t>
      </w:r>
    </w:p>
    <w:p w:rsidR="008918AB" w:rsidRPr="008918AB" w:rsidRDefault="008918AB" w:rsidP="008918AB">
      <w:pPr>
        <w:pStyle w:val="p3"/>
        <w:numPr>
          <w:ilvl w:val="0"/>
          <w:numId w:val="5"/>
        </w:numPr>
        <w:rPr>
          <w:color w:val="000000" w:themeColor="text1"/>
        </w:rPr>
      </w:pPr>
      <w:r w:rsidRPr="008918AB">
        <w:rPr>
          <w:color w:val="000000" w:themeColor="text1"/>
        </w:rPr>
        <w:t xml:space="preserve">Grosman, L., Munro, N., &amp; Belfer-Cohen, A. (2023). </w:t>
      </w:r>
      <w:r w:rsidRPr="008918AB">
        <w:rPr>
          <w:i/>
          <w:iCs/>
          <w:color w:val="000000" w:themeColor="text1"/>
        </w:rPr>
        <w:t>Natufian symbolic expressions: Figurines, burials, and ritual landscapes</w:t>
      </w:r>
      <w:r w:rsidRPr="008918AB">
        <w:rPr>
          <w:color w:val="000000" w:themeColor="text1"/>
        </w:rPr>
        <w:t>. Cambridge University Press.</w:t>
      </w:r>
    </w:p>
    <w:p w:rsidR="008918AB" w:rsidRPr="008918AB" w:rsidRDefault="008918AB" w:rsidP="008918AB">
      <w:pPr>
        <w:pStyle w:val="p3"/>
        <w:numPr>
          <w:ilvl w:val="0"/>
          <w:numId w:val="5"/>
        </w:numPr>
        <w:rPr>
          <w:color w:val="000000" w:themeColor="text1"/>
        </w:rPr>
      </w:pPr>
      <w:r w:rsidRPr="008918AB">
        <w:rPr>
          <w:color w:val="000000" w:themeColor="text1"/>
        </w:rPr>
        <w:t>“The woman and the goose: A 12,000 year old glimpse into prehistoric belief.” (17 Nov 2025). Phys.org.</w:t>
      </w:r>
    </w:p>
    <w:p w:rsidR="008918AB" w:rsidRPr="008918AB" w:rsidRDefault="008918AB" w:rsidP="008918AB">
      <w:pPr>
        <w:pStyle w:val="p3"/>
        <w:numPr>
          <w:ilvl w:val="0"/>
          <w:numId w:val="5"/>
        </w:numPr>
        <w:rPr>
          <w:color w:val="000000" w:themeColor="text1"/>
        </w:rPr>
      </w:pPr>
      <w:r w:rsidRPr="008918AB">
        <w:rPr>
          <w:color w:val="000000" w:themeColor="text1"/>
        </w:rPr>
        <w:t>“The Woman and the Goose: A 12,000 Year Old Glimpse into Prehistoric Belief.” (Nov 24 2025). AFHU.org.</w:t>
      </w:r>
    </w:p>
    <w:p w:rsidR="008918AB" w:rsidRPr="008918AB" w:rsidRDefault="008918AB" w:rsidP="008918AB">
      <w:pPr>
        <w:pStyle w:val="p3"/>
        <w:numPr>
          <w:ilvl w:val="0"/>
          <w:numId w:val="5"/>
        </w:numPr>
        <w:rPr>
          <w:color w:val="000000" w:themeColor="text1"/>
        </w:rPr>
      </w:pPr>
      <w:r w:rsidRPr="008918AB">
        <w:rPr>
          <w:color w:val="000000" w:themeColor="text1"/>
        </w:rPr>
        <w:t xml:space="preserve">Bar-Yosef, O., &amp; Belfer-Cohen, A. (2022). </w:t>
      </w:r>
      <w:r w:rsidRPr="008918AB">
        <w:rPr>
          <w:i/>
          <w:iCs/>
          <w:color w:val="000000" w:themeColor="text1"/>
        </w:rPr>
        <w:t>From Foragers to Farmers: The Natufian Transition</w:t>
      </w:r>
      <w:r w:rsidRPr="008918AB">
        <w:rPr>
          <w:color w:val="000000" w:themeColor="text1"/>
        </w:rPr>
        <w:t>. Oxford University Press.</w:t>
      </w:r>
    </w:p>
    <w:p w:rsidR="008918AB" w:rsidRPr="008918AB" w:rsidRDefault="008C400B" w:rsidP="008918AB">
      <w:pPr>
        <w:rPr>
          <w:rStyle w:val="s3"/>
          <w:rFonts w:ascii="Times New Roman" w:hAnsi="Times New Roman" w:cs="Times New Roman"/>
          <w:color w:val="000000" w:themeColor="text1"/>
        </w:rPr>
      </w:pPr>
      <w:r>
        <w:rPr>
          <w:rStyle w:val="s3"/>
          <w:rFonts w:ascii="Times New Roman" w:hAnsi="Times New Roman" w:cs="Times New Roman"/>
          <w:noProof/>
          <w:color w:val="000000" w:themeColor="text1"/>
        </w:rPr>
        <w:pict>
          <v:rect id="_x0000_i1025" alt="" style="width:451.3pt;height:.05pt;mso-width-percent:0;mso-height-percent:0;mso-width-percent:0;mso-height-percent:0" o:hralign="center" o:hrstd="t" o:hr="t" fillcolor="#a0a0a0" stroked="f"/>
        </w:pict>
      </w:r>
    </w:p>
    <w:p w:rsidR="008918AB" w:rsidRPr="008918AB" w:rsidRDefault="008918AB" w:rsidP="008918AB">
      <w:pPr>
        <w:pStyle w:val="p1"/>
        <w:rPr>
          <w:color w:val="000000" w:themeColor="text1"/>
        </w:rPr>
      </w:pPr>
      <w:r w:rsidRPr="008918AB">
        <w:rPr>
          <w:color w:val="000000" w:themeColor="text1"/>
        </w:rPr>
        <w:t xml:space="preserve">I extend a special acknowledgement to </w:t>
      </w:r>
      <w:r w:rsidRPr="008918AB">
        <w:rPr>
          <w:rStyle w:val="s1"/>
          <w:b/>
          <w:bCs/>
          <w:color w:val="000000" w:themeColor="text1"/>
        </w:rPr>
        <w:t>Ms. Ann Agee</w:t>
      </w:r>
      <w:r w:rsidRPr="008918AB">
        <w:rPr>
          <w:color w:val="000000" w:themeColor="text1"/>
        </w:rPr>
        <w:t xml:space="preserve"> for forwarding the foundational article by Davin, Munro, and Grosman. Her initiative in sharing this research proved essential to framing the NEG II figurine as a pivotal case within the DSSM framework, underscoring how individual scholarly engagement can meaningfully accelerate analytical synthesis in symbolic archaeology.</w:t>
      </w:r>
    </w:p>
    <w:p w:rsidR="00454DC3" w:rsidRPr="008918AB" w:rsidRDefault="00454DC3" w:rsidP="008918AB">
      <w:pPr>
        <w:rPr>
          <w:rFonts w:ascii="Times New Roman" w:hAnsi="Times New Roman" w:cs="Times New Roman"/>
          <w:color w:val="000000" w:themeColor="text1"/>
        </w:rPr>
      </w:pPr>
    </w:p>
    <w:sectPr w:rsidR="00454DC3" w:rsidRPr="008918AB" w:rsidSect="008918AB">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085902"/>
    <w:multiLevelType w:val="multilevel"/>
    <w:tmpl w:val="E720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9E138D"/>
    <w:multiLevelType w:val="multilevel"/>
    <w:tmpl w:val="5B9C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6270C5"/>
    <w:multiLevelType w:val="multilevel"/>
    <w:tmpl w:val="06228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545240"/>
    <w:multiLevelType w:val="multilevel"/>
    <w:tmpl w:val="49D2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422AC1"/>
    <w:multiLevelType w:val="hybridMultilevel"/>
    <w:tmpl w:val="D55473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55804986">
    <w:abstractNumId w:val="1"/>
  </w:num>
  <w:num w:numId="2" w16cid:durableId="1718554023">
    <w:abstractNumId w:val="2"/>
  </w:num>
  <w:num w:numId="3" w16cid:durableId="1930264402">
    <w:abstractNumId w:val="3"/>
  </w:num>
  <w:num w:numId="4" w16cid:durableId="526216884">
    <w:abstractNumId w:val="0"/>
  </w:num>
  <w:num w:numId="5" w16cid:durableId="21239876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8AB"/>
    <w:rsid w:val="00454DC3"/>
    <w:rsid w:val="004D05C3"/>
    <w:rsid w:val="008918AB"/>
    <w:rsid w:val="008C400B"/>
    <w:rsid w:val="00B370F4"/>
    <w:rsid w:val="00CC27F1"/>
    <w:rsid w:val="00EA4C61"/>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36678"/>
  <w15:chartTrackingRefBased/>
  <w15:docId w15:val="{08043279-BD10-1343-A3E5-8318A5E5C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918AB"/>
    <w:pPr>
      <w:spacing w:before="100" w:beforeAutospacing="1" w:after="100" w:afterAutospacing="1"/>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next w:val="Normal"/>
    <w:link w:val="Heading2Char"/>
    <w:uiPriority w:val="9"/>
    <w:unhideWhenUsed/>
    <w:qFormat/>
    <w:rsid w:val="008918A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918AB"/>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8AB"/>
    <w:rPr>
      <w:rFonts w:ascii="Times New Roman" w:eastAsia="Times New Roman" w:hAnsi="Times New Roman" w:cs="Times New Roman"/>
      <w:b/>
      <w:bCs/>
      <w:kern w:val="36"/>
      <w:sz w:val="48"/>
      <w:szCs w:val="48"/>
      <w:lang w:eastAsia="en-GB"/>
    </w:rPr>
  </w:style>
  <w:style w:type="character" w:customStyle="1" w:styleId="Heading3Char">
    <w:name w:val="Heading 3 Char"/>
    <w:basedOn w:val="DefaultParagraphFont"/>
    <w:link w:val="Heading3"/>
    <w:uiPriority w:val="9"/>
    <w:rsid w:val="008918AB"/>
    <w:rPr>
      <w:rFonts w:ascii="Times New Roman" w:eastAsia="Times New Roman" w:hAnsi="Times New Roman" w:cs="Times New Roman"/>
      <w:b/>
      <w:bCs/>
      <w:sz w:val="27"/>
      <w:szCs w:val="27"/>
      <w:lang w:eastAsia="en-GB"/>
    </w:rPr>
  </w:style>
  <w:style w:type="paragraph" w:customStyle="1" w:styleId="p1">
    <w:name w:val="p1"/>
    <w:basedOn w:val="Normal"/>
    <w:rsid w:val="008918AB"/>
    <w:pPr>
      <w:spacing w:before="100" w:beforeAutospacing="1" w:after="100" w:afterAutospacing="1"/>
    </w:pPr>
    <w:rPr>
      <w:rFonts w:ascii="Times New Roman" w:eastAsia="Times New Roman" w:hAnsi="Times New Roman" w:cs="Times New Roman"/>
      <w:lang w:eastAsia="en-GB"/>
    </w:rPr>
  </w:style>
  <w:style w:type="character" w:customStyle="1" w:styleId="s1">
    <w:name w:val="s1"/>
    <w:basedOn w:val="DefaultParagraphFont"/>
    <w:rsid w:val="008918AB"/>
  </w:style>
  <w:style w:type="character" w:customStyle="1" w:styleId="s2">
    <w:name w:val="s2"/>
    <w:basedOn w:val="DefaultParagraphFont"/>
    <w:rsid w:val="008918AB"/>
  </w:style>
  <w:style w:type="paragraph" w:customStyle="1" w:styleId="p3">
    <w:name w:val="p3"/>
    <w:basedOn w:val="Normal"/>
    <w:rsid w:val="008918AB"/>
    <w:pPr>
      <w:spacing w:before="100" w:beforeAutospacing="1" w:after="100" w:afterAutospacing="1"/>
    </w:pPr>
    <w:rPr>
      <w:rFonts w:ascii="Times New Roman" w:eastAsia="Times New Roman" w:hAnsi="Times New Roman" w:cs="Times New Roman"/>
      <w:lang w:eastAsia="en-GB"/>
    </w:rPr>
  </w:style>
  <w:style w:type="paragraph" w:customStyle="1" w:styleId="p4">
    <w:name w:val="p4"/>
    <w:basedOn w:val="Normal"/>
    <w:rsid w:val="008918AB"/>
    <w:pPr>
      <w:spacing w:before="100" w:beforeAutospacing="1" w:after="100" w:afterAutospacing="1"/>
    </w:pPr>
    <w:rPr>
      <w:rFonts w:ascii="Times New Roman" w:eastAsia="Times New Roman" w:hAnsi="Times New Roman" w:cs="Times New Roman"/>
      <w:lang w:eastAsia="en-GB"/>
    </w:rPr>
  </w:style>
  <w:style w:type="character" w:customStyle="1" w:styleId="s3">
    <w:name w:val="s3"/>
    <w:basedOn w:val="DefaultParagraphFont"/>
    <w:rsid w:val="008918AB"/>
  </w:style>
  <w:style w:type="character" w:customStyle="1" w:styleId="Heading2Char">
    <w:name w:val="Heading 2 Char"/>
    <w:basedOn w:val="DefaultParagraphFont"/>
    <w:link w:val="Heading2"/>
    <w:uiPriority w:val="9"/>
    <w:rsid w:val="008918AB"/>
    <w:rPr>
      <w:rFonts w:asciiTheme="majorHAnsi" w:eastAsiaTheme="majorEastAsia" w:hAnsiTheme="majorHAnsi" w:cstheme="majorBidi"/>
      <w:color w:val="2F5496" w:themeColor="accent1" w:themeShade="BF"/>
      <w:sz w:val="26"/>
      <w:szCs w:val="26"/>
    </w:rPr>
  </w:style>
  <w:style w:type="character" w:customStyle="1" w:styleId="apple-converted-space">
    <w:name w:val="apple-converted-space"/>
    <w:basedOn w:val="DefaultParagraphFont"/>
    <w:rsid w:val="008918AB"/>
  </w:style>
  <w:style w:type="character" w:customStyle="1" w:styleId="s4">
    <w:name w:val="s4"/>
    <w:basedOn w:val="DefaultParagraphFont"/>
    <w:rsid w:val="008918AB"/>
  </w:style>
  <w:style w:type="paragraph" w:customStyle="1" w:styleId="p2">
    <w:name w:val="p2"/>
    <w:basedOn w:val="Normal"/>
    <w:rsid w:val="008918AB"/>
    <w:pPr>
      <w:spacing w:before="100" w:beforeAutospacing="1" w:after="100" w:afterAutospacing="1"/>
    </w:pPr>
    <w:rPr>
      <w:rFonts w:ascii="Times New Roman" w:eastAsia="Times New Roman" w:hAnsi="Times New Roman" w:cs="Times New Roman"/>
      <w:lang w:eastAsia="en-GB"/>
    </w:rPr>
  </w:style>
  <w:style w:type="character" w:styleId="Hyperlink">
    <w:name w:val="Hyperlink"/>
    <w:basedOn w:val="DefaultParagraphFont"/>
    <w:uiPriority w:val="99"/>
    <w:unhideWhenUsed/>
    <w:rsid w:val="00CC27F1"/>
    <w:rPr>
      <w:color w:val="0563C1" w:themeColor="hyperlink"/>
      <w:u w:val="single"/>
    </w:rPr>
  </w:style>
  <w:style w:type="character" w:styleId="UnresolvedMention">
    <w:name w:val="Unresolved Mention"/>
    <w:basedOn w:val="DefaultParagraphFont"/>
    <w:uiPriority w:val="99"/>
    <w:semiHidden/>
    <w:unhideWhenUsed/>
    <w:rsid w:val="00CC27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0773836">
      <w:bodyDiv w:val="1"/>
      <w:marLeft w:val="0"/>
      <w:marRight w:val="0"/>
      <w:marTop w:val="0"/>
      <w:marBottom w:val="0"/>
      <w:divBdr>
        <w:top w:val="none" w:sz="0" w:space="0" w:color="auto"/>
        <w:left w:val="none" w:sz="0" w:space="0" w:color="auto"/>
        <w:bottom w:val="none" w:sz="0" w:space="0" w:color="auto"/>
        <w:right w:val="none" w:sz="0" w:space="0" w:color="auto"/>
      </w:divBdr>
    </w:div>
    <w:div w:id="972058758">
      <w:bodyDiv w:val="1"/>
      <w:marLeft w:val="0"/>
      <w:marRight w:val="0"/>
      <w:marTop w:val="0"/>
      <w:marBottom w:val="0"/>
      <w:divBdr>
        <w:top w:val="none" w:sz="0" w:space="0" w:color="auto"/>
        <w:left w:val="none" w:sz="0" w:space="0" w:color="auto"/>
        <w:bottom w:val="none" w:sz="0" w:space="0" w:color="auto"/>
        <w:right w:val="none" w:sz="0" w:space="0" w:color="auto"/>
      </w:divBdr>
    </w:div>
    <w:div w:id="1780682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6084/m9.figshare.3111947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1692</Words>
  <Characters>9651</Characters>
  <Application>Microsoft Office Word</Application>
  <DocSecurity>0</DocSecurity>
  <Lines>80</Lines>
  <Paragraphs>22</Paragraphs>
  <ScaleCrop>false</ScaleCrop>
  <Company/>
  <LinksUpToDate>false</LinksUpToDate>
  <CharactersWithSpaces>11321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2026-01-21T21:17:00Z</dcterms:created>
  <dcterms:modified xsi:type="dcterms:W3CDTF">2026-01-21T22:50:00Z</dcterms:modified>
</cp:coreProperties>
</file>