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72DC" w:rsidRPr="00707CD8" w:rsidRDefault="00CD72DC" w:rsidP="00707CD8">
      <w:pPr>
        <w:pStyle w:val="Heading1"/>
        <w:jc w:val="center"/>
        <w:rPr>
          <w:rFonts w:ascii="Times New Roman" w:hAnsi="Times New Roman" w:cs="Times New Roman"/>
          <w:b/>
          <w:bCs/>
          <w:color w:val="000000" w:themeColor="text1"/>
          <w:sz w:val="44"/>
          <w:szCs w:val="44"/>
        </w:rPr>
      </w:pPr>
      <w:r w:rsidRPr="00707CD8">
        <w:rPr>
          <w:rFonts w:ascii="Times New Roman" w:hAnsi="Times New Roman" w:cs="Times New Roman"/>
          <w:b/>
          <w:bCs/>
          <w:color w:val="000000" w:themeColor="text1"/>
          <w:sz w:val="44"/>
          <w:szCs w:val="44"/>
        </w:rPr>
        <w:t>Indonesia’s Deep-Time Cave Art as a DSSM Stress Test:</w:t>
      </w:r>
    </w:p>
    <w:p w:rsidR="00CD72DC" w:rsidRPr="00707CD8" w:rsidRDefault="00CD72DC" w:rsidP="00707CD8">
      <w:pPr>
        <w:pStyle w:val="p1"/>
        <w:jc w:val="center"/>
        <w:rPr>
          <w:i/>
          <w:iCs/>
          <w:color w:val="000000" w:themeColor="text1"/>
        </w:rPr>
      </w:pPr>
      <w:r w:rsidRPr="00707CD8">
        <w:rPr>
          <w:i/>
          <w:iCs/>
          <w:color w:val="000000" w:themeColor="text1"/>
        </w:rPr>
        <w:t>The ≥67.8 ka Sulawesi Anchor Case and the ≥51 ka Regional Symbolic Field</w:t>
      </w:r>
    </w:p>
    <w:p w:rsidR="00CD72DC" w:rsidRDefault="00CD72DC"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707CD8" w:rsidRDefault="00707CD8" w:rsidP="00CD72DC">
      <w:pPr>
        <w:pStyle w:val="p4"/>
        <w:rPr>
          <w:b/>
          <w:bCs/>
          <w:color w:val="000000" w:themeColor="text1"/>
        </w:rPr>
      </w:pPr>
    </w:p>
    <w:p w:rsidR="00CD72DC" w:rsidRPr="009F13AD" w:rsidRDefault="00CD72DC" w:rsidP="00CD72DC">
      <w:pPr>
        <w:pStyle w:val="p4"/>
        <w:rPr>
          <w:color w:val="000000" w:themeColor="text1"/>
        </w:rPr>
      </w:pPr>
      <w:r w:rsidRPr="009F13AD">
        <w:rPr>
          <w:b/>
          <w:bCs/>
          <w:color w:val="000000" w:themeColor="text1"/>
        </w:rPr>
        <w:t xml:space="preserve">Anthony Vondoom — </w:t>
      </w:r>
      <w:r w:rsidR="009F13AD" w:rsidRPr="009F13AD">
        <w:rPr>
          <w:b/>
          <w:bCs/>
          <w:color w:val="000000" w:themeColor="text1"/>
          <w:lang w:val="en-US"/>
        </w:rPr>
        <w:t xml:space="preserve">a </w:t>
      </w:r>
      <w:r w:rsidRPr="009F13AD">
        <w:rPr>
          <w:b/>
          <w:bCs/>
          <w:color w:val="000000" w:themeColor="text1"/>
        </w:rPr>
        <w:t>2026</w:t>
      </w:r>
      <w:r w:rsidR="009F13AD" w:rsidRPr="009F13AD">
        <w:rPr>
          <w:b/>
          <w:bCs/>
          <w:color w:val="000000" w:themeColor="text1"/>
          <w:lang w:val="en-US"/>
        </w:rPr>
        <w:t xml:space="preserve"> </w:t>
      </w:r>
      <w:proofErr w:type="spellStart"/>
      <w:r w:rsidR="009F13AD">
        <w:rPr>
          <w:b/>
          <w:bCs/>
          <w:color w:val="000000" w:themeColor="text1"/>
          <w:lang w:val="en-US"/>
        </w:rPr>
        <w:t>Z</w:t>
      </w:r>
      <w:r w:rsidR="009F13AD" w:rsidRPr="009F13AD">
        <w:rPr>
          <w:b/>
          <w:bCs/>
          <w:color w:val="000000" w:themeColor="text1"/>
          <w:lang w:val="en-US"/>
        </w:rPr>
        <w:t>en</w:t>
      </w:r>
      <w:r w:rsidR="009F13AD">
        <w:rPr>
          <w:b/>
          <w:bCs/>
          <w:color w:val="000000" w:themeColor="text1"/>
          <w:lang w:val="en-US"/>
        </w:rPr>
        <w:t>odo</w:t>
      </w:r>
      <w:proofErr w:type="spellEnd"/>
      <w:r w:rsidR="009F13AD">
        <w:rPr>
          <w:b/>
          <w:bCs/>
          <w:color w:val="000000" w:themeColor="text1"/>
          <w:lang w:val="en-US"/>
        </w:rPr>
        <w:t xml:space="preserve"> Preprint</w:t>
      </w:r>
      <w:r w:rsidR="009F13AD" w:rsidRPr="009F13AD">
        <w:rPr>
          <w:color w:val="000000" w:themeColor="text1"/>
        </w:rPr>
        <w:t xml:space="preserve">: </w:t>
      </w:r>
      <w:hyperlink r:id="rId5" w:history="1">
        <w:r w:rsidR="009F13AD" w:rsidRPr="009F13AD">
          <w:rPr>
            <w:rStyle w:val="Hyperlink"/>
            <w:color w:val="000000" w:themeColor="text1"/>
          </w:rPr>
          <w:t>https://doi.org/</w:t>
        </w:r>
        <w:r w:rsidR="009F13AD" w:rsidRPr="009F13AD">
          <w:rPr>
            <w:sz w:val="20"/>
            <w:szCs w:val="20"/>
            <w:u w:val="single"/>
            <w:shd w:val="clear" w:color="auto" w:fill="FFFFFF"/>
          </w:rPr>
          <w:t>10.5281/ze</w:t>
        </w:r>
        <w:r w:rsidR="009F13AD" w:rsidRPr="009F13AD">
          <w:rPr>
            <w:sz w:val="20"/>
            <w:szCs w:val="20"/>
            <w:u w:val="single"/>
            <w:shd w:val="clear" w:color="auto" w:fill="FFFFFF"/>
          </w:rPr>
          <w:t>n</w:t>
        </w:r>
        <w:r w:rsidR="009F13AD" w:rsidRPr="009F13AD">
          <w:rPr>
            <w:sz w:val="20"/>
            <w:szCs w:val="20"/>
            <w:u w:val="single"/>
            <w:shd w:val="clear" w:color="auto" w:fill="FFFFFF"/>
          </w:rPr>
          <w:t>odo.18421711</w:t>
        </w:r>
      </w:hyperlink>
    </w:p>
    <w:p w:rsidR="00CD72DC" w:rsidRDefault="00CD72DC" w:rsidP="00CD72DC">
      <w:pPr>
        <w:pStyle w:val="Heading2"/>
        <w:rPr>
          <w:rFonts w:ascii="Times New Roman" w:hAnsi="Times New Roman" w:cs="Times New Roman"/>
          <w:b/>
          <w:bCs/>
          <w:color w:val="000000" w:themeColor="text1"/>
          <w:sz w:val="28"/>
          <w:szCs w:val="28"/>
        </w:rPr>
      </w:pPr>
    </w:p>
    <w:p w:rsidR="00CD72DC" w:rsidRDefault="00CD72DC" w:rsidP="00CD72DC"/>
    <w:p w:rsidR="00CD72DC" w:rsidRDefault="00CD72DC" w:rsidP="00CD72DC">
      <w:pPr>
        <w:pStyle w:val="Heading2"/>
        <w:rPr>
          <w:rFonts w:ascii="Times New Roman" w:hAnsi="Times New Roman" w:cs="Times New Roman"/>
          <w:b/>
          <w:bCs/>
          <w:color w:val="000000" w:themeColor="text1"/>
          <w:sz w:val="28"/>
          <w:szCs w:val="28"/>
        </w:rPr>
      </w:pPr>
    </w:p>
    <w:p w:rsidR="00CD72DC" w:rsidRPr="00CD72DC" w:rsidRDefault="00CD72DC" w:rsidP="00CD72DC"/>
    <w:p w:rsidR="00CD72DC" w:rsidRPr="00CD72DC" w:rsidRDefault="00CD72DC" w:rsidP="00CD72DC">
      <w:pPr>
        <w:pStyle w:val="Heading2"/>
        <w:rPr>
          <w:rFonts w:ascii="Times New Roman" w:hAnsi="Times New Roman" w:cs="Times New Roman"/>
          <w:b/>
          <w:bCs/>
          <w:color w:val="000000" w:themeColor="text1"/>
          <w:sz w:val="28"/>
          <w:szCs w:val="28"/>
        </w:rPr>
      </w:pPr>
      <w:r w:rsidRPr="00CD72DC">
        <w:rPr>
          <w:rFonts w:ascii="Times New Roman" w:hAnsi="Times New Roman" w:cs="Times New Roman"/>
          <w:b/>
          <w:bCs/>
          <w:color w:val="000000" w:themeColor="text1"/>
          <w:sz w:val="28"/>
          <w:szCs w:val="28"/>
        </w:rPr>
        <w:t>Abstract</w:t>
      </w:r>
    </w:p>
    <w:p w:rsidR="00CD72DC" w:rsidRPr="00CD72DC" w:rsidRDefault="00CD72DC" w:rsidP="00CD72DC">
      <w:pPr>
        <w:pStyle w:val="p1"/>
        <w:ind w:firstLine="720"/>
        <w:rPr>
          <w:color w:val="000000" w:themeColor="text1"/>
        </w:rPr>
      </w:pPr>
      <w:r w:rsidRPr="00CD72DC">
        <w:rPr>
          <w:color w:val="000000" w:themeColor="text1"/>
        </w:rPr>
        <w:t>Recent uranium-series dating indicates that hand stencil rock art in Sulawesi is at least 67,800 years old, currently representing the earliest securely dated representational marking system in Wallacea. Additional Indonesian cave art assemblages — including Leang Karampuang, Leang Tedongnge, Leang Bulu’ Sipong 4, and sites across the Maros–Pangkep and Kalimantan karst systems — preserve figurative and stencil-based imagery dated to ≥51,000 years before present. These include repeated negative hand stencils, faunal depictions, and composite figures placed on fixed cave surfaces across extended time intervals.</w:t>
      </w:r>
    </w:p>
    <w:p w:rsidR="00CD72DC" w:rsidRPr="00CD72DC" w:rsidRDefault="00CD72DC" w:rsidP="00CD72DC">
      <w:pPr>
        <w:pStyle w:val="p1"/>
        <w:rPr>
          <w:color w:val="000000" w:themeColor="text1"/>
        </w:rPr>
      </w:pPr>
      <w:r w:rsidRPr="00CD72DC">
        <w:rPr>
          <w:color w:val="000000" w:themeColor="text1"/>
        </w:rPr>
        <w:t>This study analyzes the Indonesian cave art record using the Deep Symbolic Systems Model (DSSM), an operational framework for identifying stabilized symbolic infrastructures through observable structural signals. The ≥67.8 ka Sulawesi assemblage is treated as an anchor case demonstrating mnemonic anchoring, motif stabilization, spatial constraint, and cross-generational persistence. The ≥51 ka corpus is then evaluated as a regional stress test of DSSM expectations.</w:t>
      </w:r>
    </w:p>
    <w:p w:rsidR="00CD72DC" w:rsidRDefault="00CD72DC" w:rsidP="00CD72DC">
      <w:pPr>
        <w:pStyle w:val="p1"/>
        <w:rPr>
          <w:b/>
          <w:bCs/>
          <w:color w:val="000000" w:themeColor="text1"/>
          <w:sz w:val="28"/>
          <w:szCs w:val="28"/>
        </w:rPr>
      </w:pPr>
      <w:r w:rsidRPr="00CD72DC">
        <w:rPr>
          <w:color w:val="000000" w:themeColor="text1"/>
        </w:rPr>
        <w:t xml:space="preserve">The central claim is measured: Indonesian cave art is more parsimoniously interpreted not as the origin point of symbolic behavior, but as evidence of already stabilized symbolic practices operating well before </w:t>
      </w:r>
    </w:p>
    <w:p w:rsidR="00CD72DC" w:rsidRDefault="00CD72DC" w:rsidP="00CD72DC">
      <w:pPr>
        <w:pStyle w:val="Heading2"/>
        <w:rPr>
          <w:rFonts w:ascii="Times New Roman" w:hAnsi="Times New Roman" w:cs="Times New Roman"/>
          <w:b/>
          <w:bCs/>
          <w:color w:val="000000" w:themeColor="text1"/>
          <w:sz w:val="28"/>
          <w:szCs w:val="28"/>
        </w:rPr>
      </w:pPr>
    </w:p>
    <w:p w:rsidR="00CD72DC" w:rsidRDefault="00CD72DC" w:rsidP="00CD72DC">
      <w:pPr>
        <w:pStyle w:val="Heading2"/>
        <w:rPr>
          <w:rFonts w:ascii="Times New Roman" w:hAnsi="Times New Roman" w:cs="Times New Roman"/>
          <w:b/>
          <w:bCs/>
          <w:color w:val="000000" w:themeColor="text1"/>
          <w:sz w:val="28"/>
          <w:szCs w:val="28"/>
        </w:rPr>
      </w:pPr>
    </w:p>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Default="00CD72DC" w:rsidP="00CD72DC"/>
    <w:p w:rsidR="00CD72DC" w:rsidRPr="00CD72DC" w:rsidRDefault="00CD72DC" w:rsidP="00CD72DC"/>
    <w:p w:rsidR="00CD72DC" w:rsidRPr="00CD72DC" w:rsidRDefault="00CD72DC" w:rsidP="00CD72DC">
      <w:pPr>
        <w:pStyle w:val="Heading2"/>
        <w:rPr>
          <w:rFonts w:ascii="Times New Roman" w:hAnsi="Times New Roman" w:cs="Times New Roman"/>
          <w:b/>
          <w:bCs/>
          <w:color w:val="000000" w:themeColor="text1"/>
          <w:sz w:val="28"/>
          <w:szCs w:val="28"/>
        </w:rPr>
      </w:pPr>
      <w:r w:rsidRPr="00CD72DC">
        <w:rPr>
          <w:rFonts w:ascii="Times New Roman" w:hAnsi="Times New Roman" w:cs="Times New Roman"/>
          <w:b/>
          <w:bCs/>
          <w:color w:val="000000" w:themeColor="text1"/>
          <w:sz w:val="28"/>
          <w:szCs w:val="28"/>
        </w:rPr>
        <w:lastRenderedPageBreak/>
        <w:t>Analytical Framework</w:t>
      </w:r>
    </w:p>
    <w:p w:rsidR="00CD72DC" w:rsidRPr="00CD72DC" w:rsidRDefault="00CD72DC" w:rsidP="00CD72DC">
      <w:pPr>
        <w:pStyle w:val="p1"/>
        <w:ind w:firstLine="720"/>
        <w:rPr>
          <w:color w:val="000000" w:themeColor="text1"/>
        </w:rPr>
      </w:pPr>
      <w:r w:rsidRPr="00CD72DC">
        <w:rPr>
          <w:color w:val="000000" w:themeColor="text1"/>
        </w:rPr>
        <w:t>The Deep Symbolic Systems Model evaluates symbolic systems using operational observables rather than inferred meanings. Core indicators include mnemonic anchoring, motif stabilization, externalized cognition, spatial regulation, distributed authority, intergenerational persistence, redundancy, and rule-constrained deposition. The framework is designed to be theory-minimal and falsifiable through absence of predicted structural signals.</w:t>
      </w:r>
    </w:p>
    <w:p w:rsidR="00CD72DC" w:rsidRPr="00CD72DC" w:rsidRDefault="00CD72DC" w:rsidP="00CD72DC">
      <w:pPr>
        <w:pStyle w:val="p1"/>
        <w:rPr>
          <w:color w:val="000000" w:themeColor="text1"/>
        </w:rPr>
      </w:pPr>
      <w:r w:rsidRPr="00CD72DC">
        <w:rPr>
          <w:color w:val="000000" w:themeColor="text1"/>
        </w:rPr>
        <w:t>Scoring follows a three-level field protocol (absent / partial / stabilized), but the present analysis emphasizes structural patterning rather than numeric totals to avoid artificial precision.</w:t>
      </w:r>
    </w:p>
    <w:p w:rsidR="00CD72DC" w:rsidRPr="00CD72DC" w:rsidRDefault="00CD72DC" w:rsidP="00CD72DC">
      <w:pPr>
        <w:pStyle w:val="p1"/>
        <w:rPr>
          <w:color w:val="000000" w:themeColor="text1"/>
        </w:rPr>
      </w:pPr>
      <w:r w:rsidRPr="00CD72DC">
        <w:rPr>
          <w:color w:val="000000" w:themeColor="text1"/>
        </w:rPr>
        <w:t>Indonesian cave contexts are particularly suitable for DSSM testing because symbolic traces occur on fixed geological substrates, often with datable mineral overlays, and show repeated motif placement without later institutional modification.</w:t>
      </w:r>
    </w:p>
    <w:p w:rsidR="00CD72DC" w:rsidRPr="00CD72DC" w:rsidRDefault="00CD72DC" w:rsidP="00CD72DC">
      <w:pPr>
        <w:pStyle w:val="Heading3"/>
        <w:rPr>
          <w:color w:val="000000" w:themeColor="text1"/>
        </w:rPr>
      </w:pPr>
      <w:r w:rsidRPr="00CD72DC">
        <w:rPr>
          <w:color w:val="000000" w:themeColor="text1"/>
        </w:rPr>
        <w:t>DSSM Operational Variables Used in This Study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5"/>
        <w:gridCol w:w="4033"/>
        <w:gridCol w:w="3134"/>
      </w:tblGrid>
      <w:tr w:rsidR="00CD72DC" w:rsidRPr="00CD72DC" w:rsidTr="00C148E4">
        <w:trPr>
          <w:tblHeader/>
          <w:tblCellSpacing w:w="15" w:type="dxa"/>
        </w:trPr>
        <w:tc>
          <w:tcPr>
            <w:tcW w:w="0" w:type="auto"/>
            <w:vAlign w:val="center"/>
            <w:hideMark/>
          </w:tcPr>
          <w:p w:rsidR="00CD72DC" w:rsidRPr="00CD72DC" w:rsidRDefault="00CD72DC">
            <w:pPr>
              <w:pStyle w:val="p1"/>
              <w:jc w:val="center"/>
              <w:rPr>
                <w:b/>
                <w:bCs/>
                <w:color w:val="000000" w:themeColor="text1"/>
              </w:rPr>
            </w:pPr>
            <w:r w:rsidRPr="00CD72DC">
              <w:rPr>
                <w:b/>
                <w:bCs/>
                <w:color w:val="000000" w:themeColor="text1"/>
              </w:rPr>
              <w:t>DSSM Variable</w:t>
            </w:r>
          </w:p>
        </w:tc>
        <w:tc>
          <w:tcPr>
            <w:tcW w:w="0" w:type="auto"/>
            <w:vAlign w:val="center"/>
            <w:hideMark/>
          </w:tcPr>
          <w:p w:rsidR="00CD72DC" w:rsidRPr="00CD72DC" w:rsidRDefault="00CD72DC">
            <w:pPr>
              <w:pStyle w:val="p1"/>
              <w:jc w:val="center"/>
              <w:rPr>
                <w:b/>
                <w:bCs/>
                <w:color w:val="000000" w:themeColor="text1"/>
              </w:rPr>
            </w:pPr>
            <w:r w:rsidRPr="00CD72DC">
              <w:rPr>
                <w:b/>
                <w:bCs/>
                <w:color w:val="000000" w:themeColor="text1"/>
              </w:rPr>
              <w:t>Field Observable</w:t>
            </w:r>
          </w:p>
        </w:tc>
        <w:tc>
          <w:tcPr>
            <w:tcW w:w="0" w:type="auto"/>
            <w:vAlign w:val="center"/>
            <w:hideMark/>
          </w:tcPr>
          <w:p w:rsidR="00CD72DC" w:rsidRPr="00CD72DC" w:rsidRDefault="00CD72DC">
            <w:pPr>
              <w:pStyle w:val="p1"/>
              <w:jc w:val="center"/>
              <w:rPr>
                <w:b/>
                <w:bCs/>
                <w:color w:val="000000" w:themeColor="text1"/>
              </w:rPr>
            </w:pPr>
            <w:r w:rsidRPr="00CD72DC">
              <w:rPr>
                <w:b/>
                <w:bCs/>
                <w:color w:val="000000" w:themeColor="text1"/>
              </w:rPr>
              <w:t>Operational Signal</w:t>
            </w:r>
          </w:p>
        </w:tc>
      </w:tr>
      <w:tr w:rsidR="00CD72DC" w:rsidRPr="00CD72DC" w:rsidTr="00C148E4">
        <w:trPr>
          <w:tblCellSpacing w:w="15" w:type="dxa"/>
        </w:trPr>
        <w:tc>
          <w:tcPr>
            <w:tcW w:w="0" w:type="auto"/>
            <w:vAlign w:val="center"/>
            <w:hideMark/>
          </w:tcPr>
          <w:p w:rsidR="00CD72DC" w:rsidRPr="00CD72DC" w:rsidRDefault="00CD72DC">
            <w:pPr>
              <w:pStyle w:val="p1"/>
              <w:rPr>
                <w:color w:val="000000" w:themeColor="text1"/>
              </w:rPr>
            </w:pPr>
            <w:r w:rsidRPr="00CD72DC">
              <w:rPr>
                <w:color w:val="000000" w:themeColor="text1"/>
              </w:rPr>
              <w:t>Mnemonic anchoring</w:t>
            </w:r>
          </w:p>
        </w:tc>
        <w:tc>
          <w:tcPr>
            <w:tcW w:w="0" w:type="auto"/>
            <w:vAlign w:val="center"/>
            <w:hideMark/>
          </w:tcPr>
          <w:p w:rsidR="00CD72DC" w:rsidRPr="00CD72DC" w:rsidRDefault="00CD72DC">
            <w:pPr>
              <w:pStyle w:val="p1"/>
              <w:rPr>
                <w:color w:val="000000" w:themeColor="text1"/>
              </w:rPr>
            </w:pPr>
            <w:r w:rsidRPr="00CD72DC">
              <w:rPr>
                <w:color w:val="000000" w:themeColor="text1"/>
              </w:rPr>
              <w:t>Repeated use of fixed symbolic locations</w:t>
            </w:r>
          </w:p>
        </w:tc>
        <w:tc>
          <w:tcPr>
            <w:tcW w:w="0" w:type="auto"/>
            <w:vAlign w:val="center"/>
            <w:hideMark/>
          </w:tcPr>
          <w:p w:rsidR="00CD72DC" w:rsidRPr="00CD72DC" w:rsidRDefault="00CD72DC">
            <w:pPr>
              <w:pStyle w:val="p1"/>
              <w:rPr>
                <w:color w:val="000000" w:themeColor="text1"/>
              </w:rPr>
            </w:pPr>
            <w:r w:rsidRPr="00CD72DC">
              <w:rPr>
                <w:color w:val="000000" w:themeColor="text1"/>
              </w:rPr>
              <w:t>Panel reuse, spatial recurrence</w:t>
            </w:r>
          </w:p>
        </w:tc>
      </w:tr>
      <w:tr w:rsidR="00CD72DC" w:rsidRPr="00CD72DC" w:rsidTr="00C148E4">
        <w:trPr>
          <w:tblCellSpacing w:w="15" w:type="dxa"/>
        </w:trPr>
        <w:tc>
          <w:tcPr>
            <w:tcW w:w="0" w:type="auto"/>
            <w:vAlign w:val="center"/>
            <w:hideMark/>
          </w:tcPr>
          <w:p w:rsidR="00CD72DC" w:rsidRPr="00CD72DC" w:rsidRDefault="00CD72DC">
            <w:pPr>
              <w:pStyle w:val="p1"/>
              <w:rPr>
                <w:color w:val="000000" w:themeColor="text1"/>
              </w:rPr>
            </w:pPr>
            <w:r w:rsidRPr="00CD72DC">
              <w:rPr>
                <w:color w:val="000000" w:themeColor="text1"/>
              </w:rPr>
              <w:t>Motif stabilization</w:t>
            </w:r>
          </w:p>
        </w:tc>
        <w:tc>
          <w:tcPr>
            <w:tcW w:w="0" w:type="auto"/>
            <w:vAlign w:val="center"/>
            <w:hideMark/>
          </w:tcPr>
          <w:p w:rsidR="00CD72DC" w:rsidRPr="00CD72DC" w:rsidRDefault="00CD72DC">
            <w:pPr>
              <w:pStyle w:val="p1"/>
              <w:rPr>
                <w:color w:val="000000" w:themeColor="text1"/>
              </w:rPr>
            </w:pPr>
            <w:r w:rsidRPr="00CD72DC">
              <w:rPr>
                <w:color w:val="000000" w:themeColor="text1"/>
              </w:rPr>
              <w:t>Structural conservation across time</w:t>
            </w:r>
          </w:p>
        </w:tc>
        <w:tc>
          <w:tcPr>
            <w:tcW w:w="0" w:type="auto"/>
            <w:vAlign w:val="center"/>
            <w:hideMark/>
          </w:tcPr>
          <w:p w:rsidR="00CD72DC" w:rsidRPr="00CD72DC" w:rsidRDefault="00CD72DC">
            <w:pPr>
              <w:pStyle w:val="p1"/>
              <w:rPr>
                <w:color w:val="000000" w:themeColor="text1"/>
              </w:rPr>
            </w:pPr>
            <w:r w:rsidRPr="00CD72DC">
              <w:rPr>
                <w:color w:val="000000" w:themeColor="text1"/>
              </w:rPr>
              <w:t>Low motif grammar drift</w:t>
            </w:r>
          </w:p>
        </w:tc>
      </w:tr>
      <w:tr w:rsidR="00CD72DC" w:rsidRPr="00CD72DC" w:rsidTr="00C148E4">
        <w:trPr>
          <w:tblCellSpacing w:w="15" w:type="dxa"/>
        </w:trPr>
        <w:tc>
          <w:tcPr>
            <w:tcW w:w="0" w:type="auto"/>
            <w:vAlign w:val="center"/>
            <w:hideMark/>
          </w:tcPr>
          <w:p w:rsidR="00CD72DC" w:rsidRPr="00CD72DC" w:rsidRDefault="00CD72DC">
            <w:pPr>
              <w:pStyle w:val="p1"/>
              <w:rPr>
                <w:color w:val="000000" w:themeColor="text1"/>
              </w:rPr>
            </w:pPr>
            <w:r w:rsidRPr="00CD72DC">
              <w:rPr>
                <w:color w:val="000000" w:themeColor="text1"/>
              </w:rPr>
              <w:t>Externalized cognition</w:t>
            </w:r>
          </w:p>
        </w:tc>
        <w:tc>
          <w:tcPr>
            <w:tcW w:w="0" w:type="auto"/>
            <w:vAlign w:val="center"/>
            <w:hideMark/>
          </w:tcPr>
          <w:p w:rsidR="00CD72DC" w:rsidRPr="00CD72DC" w:rsidRDefault="00CD72DC">
            <w:pPr>
              <w:pStyle w:val="p1"/>
              <w:rPr>
                <w:color w:val="000000" w:themeColor="text1"/>
              </w:rPr>
            </w:pPr>
            <w:r w:rsidRPr="00CD72DC">
              <w:rPr>
                <w:color w:val="000000" w:themeColor="text1"/>
              </w:rPr>
              <w:t>Durable symbolic markings</w:t>
            </w:r>
          </w:p>
        </w:tc>
        <w:tc>
          <w:tcPr>
            <w:tcW w:w="0" w:type="auto"/>
            <w:vAlign w:val="center"/>
            <w:hideMark/>
          </w:tcPr>
          <w:p w:rsidR="00CD72DC" w:rsidRPr="00CD72DC" w:rsidRDefault="00CD72DC">
            <w:pPr>
              <w:pStyle w:val="p1"/>
              <w:rPr>
                <w:color w:val="000000" w:themeColor="text1"/>
              </w:rPr>
            </w:pPr>
            <w:r w:rsidRPr="00CD72DC">
              <w:rPr>
                <w:color w:val="000000" w:themeColor="text1"/>
              </w:rPr>
              <w:t>Cross-generational persistence</w:t>
            </w:r>
          </w:p>
        </w:tc>
      </w:tr>
      <w:tr w:rsidR="00CD72DC" w:rsidRPr="00CD72DC" w:rsidTr="00C148E4">
        <w:trPr>
          <w:tblCellSpacing w:w="15" w:type="dxa"/>
        </w:trPr>
        <w:tc>
          <w:tcPr>
            <w:tcW w:w="0" w:type="auto"/>
            <w:vAlign w:val="center"/>
            <w:hideMark/>
          </w:tcPr>
          <w:p w:rsidR="00CD72DC" w:rsidRPr="00CD72DC" w:rsidRDefault="00CD72DC">
            <w:pPr>
              <w:pStyle w:val="p1"/>
              <w:rPr>
                <w:color w:val="000000" w:themeColor="text1"/>
              </w:rPr>
            </w:pPr>
            <w:r w:rsidRPr="00CD72DC">
              <w:rPr>
                <w:color w:val="000000" w:themeColor="text1"/>
              </w:rPr>
              <w:t>Spatial regulation</w:t>
            </w:r>
          </w:p>
        </w:tc>
        <w:tc>
          <w:tcPr>
            <w:tcW w:w="0" w:type="auto"/>
            <w:vAlign w:val="center"/>
            <w:hideMark/>
          </w:tcPr>
          <w:p w:rsidR="00CD72DC" w:rsidRPr="00CD72DC" w:rsidRDefault="00CD72DC">
            <w:pPr>
              <w:pStyle w:val="p1"/>
              <w:rPr>
                <w:color w:val="000000" w:themeColor="text1"/>
              </w:rPr>
            </w:pPr>
            <w:r w:rsidRPr="00CD72DC">
              <w:rPr>
                <w:color w:val="000000" w:themeColor="text1"/>
              </w:rPr>
              <w:t>Non-optimal placement</w:t>
            </w:r>
          </w:p>
        </w:tc>
        <w:tc>
          <w:tcPr>
            <w:tcW w:w="0" w:type="auto"/>
            <w:vAlign w:val="center"/>
            <w:hideMark/>
          </w:tcPr>
          <w:p w:rsidR="00CD72DC" w:rsidRPr="00CD72DC" w:rsidRDefault="00CD72DC">
            <w:pPr>
              <w:pStyle w:val="p1"/>
              <w:rPr>
                <w:color w:val="000000" w:themeColor="text1"/>
              </w:rPr>
            </w:pPr>
            <w:r w:rsidRPr="00CD72DC">
              <w:rPr>
                <w:color w:val="000000" w:themeColor="text1"/>
              </w:rPr>
              <w:t>Deep cave or constrained zones</w:t>
            </w:r>
          </w:p>
        </w:tc>
      </w:tr>
      <w:tr w:rsidR="00CD72DC" w:rsidRPr="00CD72DC" w:rsidTr="00C148E4">
        <w:trPr>
          <w:tblCellSpacing w:w="15" w:type="dxa"/>
        </w:trPr>
        <w:tc>
          <w:tcPr>
            <w:tcW w:w="0" w:type="auto"/>
            <w:vAlign w:val="center"/>
            <w:hideMark/>
          </w:tcPr>
          <w:p w:rsidR="00CD72DC" w:rsidRPr="00CD72DC" w:rsidRDefault="00CD72DC">
            <w:pPr>
              <w:pStyle w:val="p1"/>
              <w:rPr>
                <w:color w:val="000000" w:themeColor="text1"/>
              </w:rPr>
            </w:pPr>
            <w:r w:rsidRPr="00CD72DC">
              <w:rPr>
                <w:color w:val="000000" w:themeColor="text1"/>
              </w:rPr>
              <w:t>Distributed authority</w:t>
            </w:r>
          </w:p>
        </w:tc>
        <w:tc>
          <w:tcPr>
            <w:tcW w:w="0" w:type="auto"/>
            <w:vAlign w:val="center"/>
            <w:hideMark/>
          </w:tcPr>
          <w:p w:rsidR="00CD72DC" w:rsidRPr="00CD72DC" w:rsidRDefault="00CD72DC">
            <w:pPr>
              <w:pStyle w:val="p1"/>
              <w:rPr>
                <w:color w:val="000000" w:themeColor="text1"/>
              </w:rPr>
            </w:pPr>
            <w:r w:rsidRPr="00CD72DC">
              <w:rPr>
                <w:color w:val="000000" w:themeColor="text1"/>
              </w:rPr>
              <w:t>No elite production markers</w:t>
            </w:r>
          </w:p>
        </w:tc>
        <w:tc>
          <w:tcPr>
            <w:tcW w:w="0" w:type="auto"/>
            <w:vAlign w:val="center"/>
            <w:hideMark/>
          </w:tcPr>
          <w:p w:rsidR="00CD72DC" w:rsidRPr="00CD72DC" w:rsidRDefault="00CD72DC">
            <w:pPr>
              <w:pStyle w:val="p1"/>
              <w:rPr>
                <w:color w:val="000000" w:themeColor="text1"/>
              </w:rPr>
            </w:pPr>
            <w:r w:rsidRPr="00CD72DC">
              <w:rPr>
                <w:color w:val="000000" w:themeColor="text1"/>
              </w:rPr>
              <w:t>Broad participation signals</w:t>
            </w:r>
          </w:p>
        </w:tc>
      </w:tr>
      <w:tr w:rsidR="00CD72DC" w:rsidRPr="00CD72DC" w:rsidTr="00C148E4">
        <w:trPr>
          <w:tblCellSpacing w:w="15" w:type="dxa"/>
        </w:trPr>
        <w:tc>
          <w:tcPr>
            <w:tcW w:w="0" w:type="auto"/>
            <w:vAlign w:val="center"/>
            <w:hideMark/>
          </w:tcPr>
          <w:p w:rsidR="00CD72DC" w:rsidRPr="00CD72DC" w:rsidRDefault="00CD72DC">
            <w:pPr>
              <w:pStyle w:val="p1"/>
              <w:rPr>
                <w:color w:val="000000" w:themeColor="text1"/>
              </w:rPr>
            </w:pPr>
            <w:r w:rsidRPr="00CD72DC">
              <w:rPr>
                <w:color w:val="000000" w:themeColor="text1"/>
              </w:rPr>
              <w:t>Redundancy</w:t>
            </w:r>
          </w:p>
        </w:tc>
        <w:tc>
          <w:tcPr>
            <w:tcW w:w="0" w:type="auto"/>
            <w:vAlign w:val="center"/>
            <w:hideMark/>
          </w:tcPr>
          <w:p w:rsidR="00CD72DC" w:rsidRPr="00CD72DC" w:rsidRDefault="00CD72DC">
            <w:pPr>
              <w:pStyle w:val="p1"/>
              <w:rPr>
                <w:color w:val="000000" w:themeColor="text1"/>
              </w:rPr>
            </w:pPr>
            <w:r w:rsidRPr="00CD72DC">
              <w:rPr>
                <w:color w:val="000000" w:themeColor="text1"/>
              </w:rPr>
              <w:t>Repeated motifs across media/sites</w:t>
            </w:r>
          </w:p>
        </w:tc>
        <w:tc>
          <w:tcPr>
            <w:tcW w:w="0" w:type="auto"/>
            <w:vAlign w:val="center"/>
            <w:hideMark/>
          </w:tcPr>
          <w:p w:rsidR="00CD72DC" w:rsidRPr="00CD72DC" w:rsidRDefault="00CD72DC">
            <w:pPr>
              <w:pStyle w:val="p1"/>
              <w:rPr>
                <w:color w:val="000000" w:themeColor="text1"/>
              </w:rPr>
            </w:pPr>
            <w:r w:rsidRPr="00CD72DC">
              <w:rPr>
                <w:color w:val="000000" w:themeColor="text1"/>
              </w:rPr>
              <w:t>Structural replication</w:t>
            </w:r>
          </w:p>
        </w:tc>
      </w:tr>
      <w:tr w:rsidR="00CD72DC" w:rsidRPr="00CD72DC" w:rsidTr="00C148E4">
        <w:trPr>
          <w:tblCellSpacing w:w="15" w:type="dxa"/>
        </w:trPr>
        <w:tc>
          <w:tcPr>
            <w:tcW w:w="0" w:type="auto"/>
            <w:vAlign w:val="center"/>
            <w:hideMark/>
          </w:tcPr>
          <w:p w:rsidR="00CD72DC" w:rsidRPr="00CD72DC" w:rsidRDefault="00CD72DC">
            <w:pPr>
              <w:pStyle w:val="p1"/>
              <w:rPr>
                <w:color w:val="000000" w:themeColor="text1"/>
              </w:rPr>
            </w:pPr>
            <w:r w:rsidRPr="00CD72DC">
              <w:rPr>
                <w:color w:val="000000" w:themeColor="text1"/>
              </w:rPr>
              <w:t>Rule-constrained deposition</w:t>
            </w:r>
          </w:p>
        </w:tc>
        <w:tc>
          <w:tcPr>
            <w:tcW w:w="0" w:type="auto"/>
            <w:vAlign w:val="center"/>
            <w:hideMark/>
          </w:tcPr>
          <w:p w:rsidR="00CD72DC" w:rsidRPr="00CD72DC" w:rsidRDefault="00CD72DC">
            <w:pPr>
              <w:pStyle w:val="p1"/>
              <w:rPr>
                <w:color w:val="000000" w:themeColor="text1"/>
              </w:rPr>
            </w:pPr>
            <w:r w:rsidRPr="00CD72DC">
              <w:rPr>
                <w:color w:val="000000" w:themeColor="text1"/>
              </w:rPr>
              <w:t>Form over function</w:t>
            </w:r>
          </w:p>
        </w:tc>
        <w:tc>
          <w:tcPr>
            <w:tcW w:w="0" w:type="auto"/>
            <w:vAlign w:val="center"/>
            <w:hideMark/>
          </w:tcPr>
          <w:p w:rsidR="00CD72DC" w:rsidRPr="00CD72DC" w:rsidRDefault="00CD72DC">
            <w:pPr>
              <w:pStyle w:val="p1"/>
              <w:rPr>
                <w:color w:val="000000" w:themeColor="text1"/>
              </w:rPr>
            </w:pPr>
            <w:r w:rsidRPr="00CD72DC">
              <w:rPr>
                <w:color w:val="000000" w:themeColor="text1"/>
              </w:rPr>
              <w:t>Placement rules inferred</w:t>
            </w:r>
          </w:p>
        </w:tc>
      </w:tr>
    </w:tbl>
    <w:p w:rsidR="00C148E4" w:rsidRDefault="00C148E4" w:rsidP="00CD72DC">
      <w:pPr>
        <w:pStyle w:val="Heading2"/>
        <w:rPr>
          <w:rFonts w:ascii="Times New Roman" w:hAnsi="Times New Roman" w:cs="Times New Roman"/>
          <w:b/>
          <w:bCs/>
          <w:color w:val="000000" w:themeColor="text1"/>
          <w:sz w:val="28"/>
          <w:szCs w:val="28"/>
        </w:rPr>
      </w:pPr>
    </w:p>
    <w:p w:rsidR="00C148E4" w:rsidRDefault="00C148E4" w:rsidP="00CD72DC">
      <w:pPr>
        <w:pStyle w:val="Heading2"/>
        <w:rPr>
          <w:rFonts w:ascii="Times New Roman" w:hAnsi="Times New Roman" w:cs="Times New Roman"/>
          <w:b/>
          <w:bCs/>
          <w:color w:val="000000" w:themeColor="text1"/>
          <w:sz w:val="28"/>
          <w:szCs w:val="28"/>
        </w:rPr>
      </w:pPr>
    </w:p>
    <w:p w:rsidR="00C148E4" w:rsidRDefault="00C148E4" w:rsidP="00CD72DC">
      <w:pPr>
        <w:pStyle w:val="Heading2"/>
        <w:rPr>
          <w:rFonts w:ascii="Times New Roman" w:hAnsi="Times New Roman" w:cs="Times New Roman"/>
          <w:b/>
          <w:bCs/>
          <w:color w:val="000000" w:themeColor="text1"/>
          <w:sz w:val="28"/>
          <w:szCs w:val="28"/>
        </w:rPr>
      </w:pPr>
    </w:p>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Pr="00C148E4" w:rsidRDefault="00C148E4" w:rsidP="00C148E4"/>
    <w:p w:rsidR="00C148E4" w:rsidRDefault="00C148E4" w:rsidP="00CD72DC">
      <w:pPr>
        <w:pStyle w:val="Heading2"/>
        <w:rPr>
          <w:rFonts w:ascii="Times New Roman" w:hAnsi="Times New Roman" w:cs="Times New Roman"/>
          <w:b/>
          <w:bCs/>
          <w:color w:val="000000" w:themeColor="text1"/>
          <w:sz w:val="28"/>
          <w:szCs w:val="28"/>
        </w:rPr>
      </w:pPr>
    </w:p>
    <w:p w:rsidR="00C148E4" w:rsidRDefault="00C148E4" w:rsidP="00C148E4"/>
    <w:p w:rsidR="00C148E4" w:rsidRDefault="00C148E4" w:rsidP="00C148E4"/>
    <w:p w:rsidR="00C148E4" w:rsidRDefault="00C148E4" w:rsidP="00CD72DC">
      <w:pPr>
        <w:pStyle w:val="Heading2"/>
        <w:rPr>
          <w:rFonts w:ascii="Times New Roman" w:hAnsi="Times New Roman" w:cs="Times New Roman"/>
          <w:b/>
          <w:bCs/>
          <w:color w:val="000000" w:themeColor="text1"/>
          <w:sz w:val="28"/>
          <w:szCs w:val="28"/>
        </w:rPr>
      </w:pPr>
    </w:p>
    <w:p w:rsidR="00C148E4" w:rsidRPr="00C148E4" w:rsidRDefault="00C148E4" w:rsidP="00C148E4"/>
    <w:p w:rsidR="00CD72DC" w:rsidRPr="00C148E4" w:rsidRDefault="00CD72DC" w:rsidP="00CD72DC">
      <w:pPr>
        <w:pStyle w:val="Heading2"/>
        <w:rPr>
          <w:rFonts w:ascii="Times New Roman" w:hAnsi="Times New Roman" w:cs="Times New Roman"/>
          <w:b/>
          <w:bCs/>
          <w:color w:val="000000" w:themeColor="text1"/>
          <w:sz w:val="28"/>
          <w:szCs w:val="28"/>
        </w:rPr>
      </w:pPr>
      <w:r w:rsidRPr="00C148E4">
        <w:rPr>
          <w:rFonts w:ascii="Times New Roman" w:hAnsi="Times New Roman" w:cs="Times New Roman"/>
          <w:b/>
          <w:bCs/>
          <w:color w:val="000000" w:themeColor="text1"/>
          <w:sz w:val="28"/>
          <w:szCs w:val="28"/>
        </w:rPr>
        <w:lastRenderedPageBreak/>
        <w:t>Anchor Case Study: Sulawesi Rock Art at ≥67.8 ka</w:t>
      </w:r>
    </w:p>
    <w:p w:rsidR="00CD72DC" w:rsidRPr="00CD72DC" w:rsidRDefault="00CD72DC" w:rsidP="00C148E4">
      <w:pPr>
        <w:pStyle w:val="p3"/>
        <w:ind w:firstLine="720"/>
        <w:rPr>
          <w:color w:val="000000" w:themeColor="text1"/>
        </w:rPr>
      </w:pPr>
      <w:r w:rsidRPr="00CD72DC">
        <w:rPr>
          <w:color w:val="000000" w:themeColor="text1"/>
        </w:rPr>
        <w:t>Recent dating of Sulawesi cave panels (including Liang Metanduno, Gua Mbokita, and Gua Anawai) provides a deep chronological anchor for structural symbolic analysis in Island Southeast Asia.</w:t>
      </w:r>
    </w:p>
    <w:p w:rsidR="00CD72DC" w:rsidRPr="00CD72DC" w:rsidRDefault="00CD72DC" w:rsidP="00C148E4">
      <w:pPr>
        <w:pStyle w:val="p3"/>
        <w:rPr>
          <w:color w:val="000000" w:themeColor="text1"/>
        </w:rPr>
      </w:pPr>
      <w:r w:rsidRPr="00CD72DC">
        <w:rPr>
          <w:color w:val="000000" w:themeColor="text1"/>
        </w:rPr>
        <w:t>Repeated negative hand stencils occur on fixed panels with layered pigment histories separated by large temporal gaps. Panel reuse across long intervals indicates that placement decisions were not random or purely decorative. From a DSSM perspective, this pattern is consistent with mnemonic anchoring — the use of fixed locations as durable symbolic reference points.</w:t>
      </w:r>
    </w:p>
    <w:p w:rsidR="00C148E4" w:rsidRDefault="00CD72DC" w:rsidP="00C148E4">
      <w:pPr>
        <w:pStyle w:val="p3"/>
        <w:rPr>
          <w:color w:val="000000" w:themeColor="text1"/>
        </w:rPr>
      </w:pPr>
      <w:r w:rsidRPr="00CD72DC">
        <w:rPr>
          <w:color w:val="000000" w:themeColor="text1"/>
        </w:rPr>
        <w:t>Motif form shows strong structural conservation with tolerated execution variation, including modified finger morphologies and recurring stencil grammar. This suggests rule-constrained production rather than isolated expressive acts, though intentional rule systems must remain an inference rather than a directly observed property.</w:t>
      </w:r>
    </w:p>
    <w:p w:rsidR="00CD72DC" w:rsidRPr="00CD72DC" w:rsidRDefault="00CD72DC" w:rsidP="00C148E4">
      <w:pPr>
        <w:pStyle w:val="p3"/>
        <w:rPr>
          <w:color w:val="000000" w:themeColor="text1"/>
        </w:rPr>
      </w:pPr>
      <w:r w:rsidRPr="00CD72DC">
        <w:rPr>
          <w:color w:val="000000" w:themeColor="text1"/>
        </w:rPr>
        <w:t>Stencil placement often occurs in deeper cave zones requiring deliberate entry. Such spatial selectivity implies placement constraint and non-trivial access cost, which may indicate regulated symbolic deposition rather than opportunistic marking.</w:t>
      </w:r>
    </w:p>
    <w:p w:rsidR="00CD72DC" w:rsidRPr="00CD72DC" w:rsidRDefault="00CD72DC" w:rsidP="00CD72DC">
      <w:pPr>
        <w:pStyle w:val="p3"/>
        <w:rPr>
          <w:color w:val="000000" w:themeColor="text1"/>
        </w:rPr>
      </w:pPr>
      <w:r w:rsidRPr="00CD72DC">
        <w:rPr>
          <w:color w:val="000000" w:themeColor="text1"/>
        </w:rPr>
        <w:t>Durable wall markings function as external memory scaffolds, persisting beyond individual lifespans. Layered repainting episodes support cross-generational symbolic reference, although precise social transmission mechanisms remain archaeologically opaque.</w:t>
      </w:r>
    </w:p>
    <w:p w:rsidR="00CD72DC" w:rsidRPr="00CD72DC" w:rsidRDefault="00CD72DC" w:rsidP="00CD72DC">
      <w:pPr>
        <w:pStyle w:val="p3"/>
        <w:rPr>
          <w:color w:val="000000" w:themeColor="text1"/>
        </w:rPr>
      </w:pPr>
      <w:r w:rsidRPr="00CD72DC">
        <w:rPr>
          <w:color w:val="000000" w:themeColor="text1"/>
        </w:rPr>
        <w:t>Taken together, these properties are consistent with a stabilized symbolic field under DSSM criteria, while recognizing that behavioral interpretation remains probabilistic.</w:t>
      </w:r>
    </w:p>
    <w:p w:rsidR="00CD72DC" w:rsidRPr="00CD72DC" w:rsidRDefault="00CD72DC" w:rsidP="00CD72DC">
      <w:pPr>
        <w:pStyle w:val="Heading3"/>
        <w:rPr>
          <w:color w:val="000000" w:themeColor="text1"/>
        </w:rPr>
      </w:pPr>
      <w:r w:rsidRPr="00CD72DC">
        <w:rPr>
          <w:color w:val="000000" w:themeColor="text1"/>
        </w:rPr>
        <w:t>Anchor Case Structural Signals (≥67.8 ka Sulawesi)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1"/>
        <w:gridCol w:w="3113"/>
        <w:gridCol w:w="2768"/>
      </w:tblGrid>
      <w:tr w:rsidR="00CD72DC" w:rsidRPr="00CD72DC" w:rsidTr="00C148E4">
        <w:trPr>
          <w:tblHeader/>
          <w:tblCellSpacing w:w="15" w:type="dxa"/>
          <w:jc w:val="center"/>
        </w:trPr>
        <w:tc>
          <w:tcPr>
            <w:tcW w:w="0" w:type="auto"/>
            <w:vAlign w:val="center"/>
            <w:hideMark/>
          </w:tcPr>
          <w:p w:rsidR="00CD72DC" w:rsidRPr="00CD72DC" w:rsidRDefault="00CD72DC" w:rsidP="00C148E4">
            <w:pPr>
              <w:pStyle w:val="p1"/>
              <w:jc w:val="center"/>
              <w:rPr>
                <w:b/>
                <w:bCs/>
                <w:color w:val="000000" w:themeColor="text1"/>
              </w:rPr>
            </w:pPr>
            <w:r w:rsidRPr="00CD72DC">
              <w:rPr>
                <w:b/>
                <w:bCs/>
                <w:color w:val="000000" w:themeColor="text1"/>
              </w:rPr>
              <w:t>Observable</w:t>
            </w:r>
          </w:p>
        </w:tc>
        <w:tc>
          <w:tcPr>
            <w:tcW w:w="0" w:type="auto"/>
            <w:vAlign w:val="center"/>
            <w:hideMark/>
          </w:tcPr>
          <w:p w:rsidR="00CD72DC" w:rsidRPr="00CD72DC" w:rsidRDefault="00CD72DC" w:rsidP="00C148E4">
            <w:pPr>
              <w:pStyle w:val="p1"/>
              <w:jc w:val="center"/>
              <w:rPr>
                <w:b/>
                <w:bCs/>
                <w:color w:val="000000" w:themeColor="text1"/>
              </w:rPr>
            </w:pPr>
            <w:r w:rsidRPr="00CD72DC">
              <w:rPr>
                <w:b/>
                <w:bCs/>
                <w:color w:val="000000" w:themeColor="text1"/>
              </w:rPr>
              <w:t>Field Evidence</w:t>
            </w:r>
          </w:p>
        </w:tc>
        <w:tc>
          <w:tcPr>
            <w:tcW w:w="0" w:type="auto"/>
            <w:vAlign w:val="center"/>
            <w:hideMark/>
          </w:tcPr>
          <w:p w:rsidR="00CD72DC" w:rsidRPr="00CD72DC" w:rsidRDefault="00CD72DC" w:rsidP="00C148E4">
            <w:pPr>
              <w:pStyle w:val="p1"/>
              <w:jc w:val="center"/>
              <w:rPr>
                <w:b/>
                <w:bCs/>
                <w:color w:val="000000" w:themeColor="text1"/>
              </w:rPr>
            </w:pPr>
            <w:r w:rsidRPr="00CD72DC">
              <w:rPr>
                <w:b/>
                <w:bCs/>
                <w:color w:val="000000" w:themeColor="text1"/>
              </w:rPr>
              <w:t>DSSM Interpretation</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Panel reuse</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Multi-layer stencil phases</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Mnemonic anchoring</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Motif conservation</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Repeated hand stencil grammar</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Motif stabilization</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Execution variance tolerated</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Finger modification variation</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Error tolerance</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Deep placement</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Non-trivial cave access</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Spatial regulation</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Layered repainting</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Temporal separation of phases</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Externalized cognition</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Cross-phase recurrence</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Motif persistence</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Intergenerational continuity</w:t>
            </w:r>
          </w:p>
        </w:tc>
      </w:tr>
    </w:tbl>
    <w:p w:rsidR="00CD72DC" w:rsidRPr="00CD72DC" w:rsidRDefault="00CD72DC" w:rsidP="00CD72DC">
      <w:pPr>
        <w:rPr>
          <w:rStyle w:val="s1"/>
          <w:rFonts w:ascii="Times New Roman" w:hAnsi="Times New Roman" w:cs="Times New Roman"/>
          <w:color w:val="000000" w:themeColor="text1"/>
        </w:rPr>
      </w:pPr>
    </w:p>
    <w:p w:rsidR="00C148E4" w:rsidRDefault="00C148E4" w:rsidP="00CD72DC">
      <w:pPr>
        <w:pStyle w:val="Heading2"/>
        <w:rPr>
          <w:rFonts w:ascii="Times New Roman" w:hAnsi="Times New Roman" w:cs="Times New Roman"/>
          <w:color w:val="000000" w:themeColor="text1"/>
        </w:rPr>
      </w:pPr>
    </w:p>
    <w:p w:rsidR="00C148E4" w:rsidRDefault="00C148E4" w:rsidP="00C148E4"/>
    <w:p w:rsidR="00C148E4" w:rsidRDefault="00C148E4" w:rsidP="00C148E4"/>
    <w:p w:rsidR="00C148E4" w:rsidRPr="00707CD8" w:rsidRDefault="00707CD8" w:rsidP="00C148E4">
      <w:pPr>
        <w:rPr>
          <w:lang w:val="en-US"/>
        </w:rPr>
      </w:pPr>
      <w:r>
        <w:rPr>
          <w:lang w:val="en-US"/>
        </w:rPr>
        <w:t xml:space="preserve">*Data from: </w:t>
      </w:r>
      <w:r>
        <w:rPr>
          <w:rFonts w:ascii="Helvetica" w:hAnsi="Helvetica"/>
          <w:color w:val="000000"/>
          <w:sz w:val="21"/>
          <w:szCs w:val="21"/>
          <w:shd w:val="clear" w:color="auto" w:fill="F5F5F5"/>
        </w:rPr>
        <w:t>Vondoom, A. (2026). DSSM Analysis Report: Sulawesi Cave Art Anchor Assemblage (≥67.8 ka). Zenodo.</w:t>
      </w:r>
      <w:r>
        <w:rPr>
          <w:rStyle w:val="apple-converted-space"/>
          <w:rFonts w:ascii="Helvetica" w:hAnsi="Helvetica"/>
          <w:color w:val="000000"/>
          <w:sz w:val="21"/>
          <w:szCs w:val="21"/>
          <w:shd w:val="clear" w:color="auto" w:fill="F5F5F5"/>
        </w:rPr>
        <w:t> </w:t>
      </w:r>
      <w:hyperlink r:id="rId6" w:tgtFrame="_blank" w:history="1">
        <w:r>
          <w:rPr>
            <w:rStyle w:val="Hyperlink"/>
            <w:rFonts w:ascii="Helvetica" w:hAnsi="Helvetica"/>
            <w:color w:val="2F6FA7"/>
            <w:sz w:val="21"/>
            <w:szCs w:val="21"/>
          </w:rPr>
          <w:t>https://doi.org/10.5281/zenodo.18421611</w:t>
        </w:r>
      </w:hyperlink>
    </w:p>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Pr="00C148E4" w:rsidRDefault="00C148E4" w:rsidP="00C148E4"/>
    <w:p w:rsidR="00C148E4" w:rsidRDefault="00C148E4" w:rsidP="00CD72DC">
      <w:pPr>
        <w:pStyle w:val="Heading2"/>
        <w:rPr>
          <w:rFonts w:ascii="Times New Roman" w:hAnsi="Times New Roman" w:cs="Times New Roman"/>
          <w:color w:val="000000" w:themeColor="text1"/>
        </w:rPr>
      </w:pPr>
    </w:p>
    <w:p w:rsidR="00CD72DC" w:rsidRPr="00C148E4" w:rsidRDefault="00CD72DC" w:rsidP="00C148E4">
      <w:pPr>
        <w:pStyle w:val="Heading2"/>
        <w:rPr>
          <w:rFonts w:ascii="Times New Roman" w:hAnsi="Times New Roman" w:cs="Times New Roman"/>
          <w:b/>
          <w:bCs/>
          <w:color w:val="000000" w:themeColor="text1"/>
          <w:sz w:val="28"/>
          <w:szCs w:val="28"/>
        </w:rPr>
      </w:pPr>
      <w:r w:rsidRPr="00C148E4">
        <w:rPr>
          <w:rFonts w:ascii="Times New Roman" w:hAnsi="Times New Roman" w:cs="Times New Roman"/>
          <w:b/>
          <w:bCs/>
          <w:color w:val="000000" w:themeColor="text1"/>
          <w:sz w:val="28"/>
          <w:szCs w:val="28"/>
        </w:rPr>
        <w:t>Regional Extension: ≥51 ka Indonesian Cave Art as DSSM Stress Test</w:t>
      </w:r>
    </w:p>
    <w:p w:rsidR="00CD72DC" w:rsidRPr="00CD72DC" w:rsidRDefault="00CD72DC" w:rsidP="00C148E4">
      <w:pPr>
        <w:pStyle w:val="p3"/>
        <w:ind w:firstLine="720"/>
        <w:rPr>
          <w:color w:val="000000" w:themeColor="text1"/>
        </w:rPr>
      </w:pPr>
      <w:r w:rsidRPr="00CD72DC">
        <w:rPr>
          <w:color w:val="000000" w:themeColor="text1"/>
        </w:rPr>
        <w:t>The ≥51 ka Indonesian figurative corpus — including Leang Karampuang, Leang Tedongnge, Leang Bulu’ Sipong 4, and Kalimantan cave systems — allows regional-scale testing of DSSM structural expectations. These sites preserve large faunal depictions, composite figures, and continuing stencil traditions across multiple cave networks.</w:t>
      </w:r>
    </w:p>
    <w:p w:rsidR="00CD72DC" w:rsidRPr="00CD72DC" w:rsidRDefault="00CD72DC" w:rsidP="00C148E4">
      <w:pPr>
        <w:pStyle w:val="p3"/>
        <w:rPr>
          <w:color w:val="000000" w:themeColor="text1"/>
        </w:rPr>
      </w:pPr>
      <w:r w:rsidRPr="00CD72DC">
        <w:rPr>
          <w:color w:val="000000" w:themeColor="text1"/>
        </w:rPr>
        <w:t>Across sites, one observes motif conservation, repeated stencil systems, spatial recurrence, and layered repainting. These patterns are compatible with symbolic stabilization and redundancy predictions derived from DSSM. Structural similarity across separated cave systems suggests scalability of symbolic practices rather than single-site anomaly.</w:t>
      </w:r>
    </w:p>
    <w:p w:rsidR="00CD72DC" w:rsidRPr="00CD72DC" w:rsidRDefault="00CD72DC" w:rsidP="00CD72DC">
      <w:pPr>
        <w:pStyle w:val="p3"/>
        <w:rPr>
          <w:color w:val="000000" w:themeColor="text1"/>
        </w:rPr>
      </w:pPr>
      <w:r w:rsidRPr="00C148E4">
        <w:rPr>
          <w:rStyle w:val="s2"/>
          <w:b/>
          <w:bCs/>
          <w:i/>
          <w:iCs/>
          <w:color w:val="000000" w:themeColor="text1"/>
        </w:rPr>
        <w:t>Methodological caution is required here</w:t>
      </w:r>
      <w:r w:rsidRPr="00CD72DC">
        <w:rPr>
          <w:rStyle w:val="s2"/>
          <w:b/>
          <w:bCs/>
          <w:color w:val="000000" w:themeColor="text1"/>
        </w:rPr>
        <w:t>.</w:t>
      </w:r>
      <w:r w:rsidRPr="00CD72DC">
        <w:rPr>
          <w:color w:val="000000" w:themeColor="text1"/>
        </w:rPr>
        <w:t xml:space="preserve"> Dating typically constrains mineral accretions overlying motifs rather than pigment application itself. Regional pattern comparisons therefore rely on minimum ages and structural similarity rather than exact contemporaneity. The stress-test interpretation should be read as a probabilistic structural convergence argument, not proof of synchronized symbolic systems.</w:t>
      </w:r>
    </w:p>
    <w:p w:rsidR="00CD72DC" w:rsidRPr="00CD72DC" w:rsidRDefault="00CD72DC" w:rsidP="00CD72DC">
      <w:pPr>
        <w:pStyle w:val="Heading3"/>
        <w:rPr>
          <w:color w:val="000000" w:themeColor="text1"/>
        </w:rPr>
      </w:pPr>
      <w:r w:rsidRPr="00CD72DC">
        <w:rPr>
          <w:color w:val="000000" w:themeColor="text1"/>
        </w:rPr>
        <w:t>Regional Stress-Test Signals (≥51 ka Corpus)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5"/>
        <w:gridCol w:w="2882"/>
        <w:gridCol w:w="2155"/>
      </w:tblGrid>
      <w:tr w:rsidR="00CD72DC" w:rsidRPr="00CD72DC" w:rsidTr="00C148E4">
        <w:trPr>
          <w:tblHeader/>
          <w:tblCellSpacing w:w="15" w:type="dxa"/>
          <w:jc w:val="center"/>
        </w:trPr>
        <w:tc>
          <w:tcPr>
            <w:tcW w:w="0" w:type="auto"/>
            <w:vAlign w:val="center"/>
            <w:hideMark/>
          </w:tcPr>
          <w:p w:rsidR="00CD72DC" w:rsidRPr="00CD72DC" w:rsidRDefault="00CD72DC">
            <w:pPr>
              <w:pStyle w:val="p1"/>
              <w:jc w:val="center"/>
              <w:rPr>
                <w:b/>
                <w:bCs/>
                <w:color w:val="000000" w:themeColor="text1"/>
              </w:rPr>
            </w:pPr>
            <w:r w:rsidRPr="00CD72DC">
              <w:rPr>
                <w:b/>
                <w:bCs/>
                <w:color w:val="000000" w:themeColor="text1"/>
              </w:rPr>
              <w:t>Signal Type</w:t>
            </w:r>
          </w:p>
        </w:tc>
        <w:tc>
          <w:tcPr>
            <w:tcW w:w="0" w:type="auto"/>
            <w:vAlign w:val="center"/>
            <w:hideMark/>
          </w:tcPr>
          <w:p w:rsidR="00CD72DC" w:rsidRPr="00CD72DC" w:rsidRDefault="00CD72DC">
            <w:pPr>
              <w:pStyle w:val="p1"/>
              <w:jc w:val="center"/>
              <w:rPr>
                <w:b/>
                <w:bCs/>
                <w:color w:val="000000" w:themeColor="text1"/>
              </w:rPr>
            </w:pPr>
            <w:r w:rsidRPr="00CD72DC">
              <w:rPr>
                <w:b/>
                <w:bCs/>
                <w:color w:val="000000" w:themeColor="text1"/>
              </w:rPr>
              <w:t>Observed Pattern</w:t>
            </w:r>
          </w:p>
        </w:tc>
        <w:tc>
          <w:tcPr>
            <w:tcW w:w="0" w:type="auto"/>
            <w:vAlign w:val="center"/>
            <w:hideMark/>
          </w:tcPr>
          <w:p w:rsidR="00CD72DC" w:rsidRPr="00CD72DC" w:rsidRDefault="00CD72DC">
            <w:pPr>
              <w:pStyle w:val="p1"/>
              <w:jc w:val="center"/>
              <w:rPr>
                <w:b/>
                <w:bCs/>
                <w:color w:val="000000" w:themeColor="text1"/>
              </w:rPr>
            </w:pPr>
            <w:r w:rsidRPr="00CD72DC">
              <w:rPr>
                <w:b/>
                <w:bCs/>
                <w:color w:val="000000" w:themeColor="text1"/>
              </w:rPr>
              <w:t>Structural Reading</w:t>
            </w:r>
          </w:p>
        </w:tc>
      </w:tr>
      <w:tr w:rsidR="00CD72DC" w:rsidRPr="00CD72DC" w:rsidTr="00C148E4">
        <w:trPr>
          <w:tblCellSpacing w:w="15" w:type="dxa"/>
          <w:jc w:val="center"/>
        </w:trPr>
        <w:tc>
          <w:tcPr>
            <w:tcW w:w="0" w:type="auto"/>
            <w:vAlign w:val="center"/>
            <w:hideMark/>
          </w:tcPr>
          <w:p w:rsidR="00CD72DC" w:rsidRPr="00CD72DC" w:rsidRDefault="00CD72DC">
            <w:pPr>
              <w:pStyle w:val="p1"/>
              <w:rPr>
                <w:color w:val="000000" w:themeColor="text1"/>
              </w:rPr>
            </w:pPr>
            <w:r w:rsidRPr="00CD72DC">
              <w:rPr>
                <w:color w:val="000000" w:themeColor="text1"/>
              </w:rPr>
              <w:t>Motif recurrence</w:t>
            </w:r>
          </w:p>
        </w:tc>
        <w:tc>
          <w:tcPr>
            <w:tcW w:w="0" w:type="auto"/>
            <w:vAlign w:val="center"/>
            <w:hideMark/>
          </w:tcPr>
          <w:p w:rsidR="00CD72DC" w:rsidRPr="00CD72DC" w:rsidRDefault="00CD72DC">
            <w:pPr>
              <w:pStyle w:val="p1"/>
              <w:rPr>
                <w:color w:val="000000" w:themeColor="text1"/>
              </w:rPr>
            </w:pPr>
            <w:r w:rsidRPr="00CD72DC">
              <w:rPr>
                <w:color w:val="000000" w:themeColor="text1"/>
              </w:rPr>
              <w:t>Stencils + fauna across caves</w:t>
            </w:r>
          </w:p>
        </w:tc>
        <w:tc>
          <w:tcPr>
            <w:tcW w:w="0" w:type="auto"/>
            <w:vAlign w:val="center"/>
            <w:hideMark/>
          </w:tcPr>
          <w:p w:rsidR="00CD72DC" w:rsidRPr="00CD72DC" w:rsidRDefault="00CD72DC">
            <w:pPr>
              <w:pStyle w:val="p1"/>
              <w:rPr>
                <w:color w:val="000000" w:themeColor="text1"/>
              </w:rPr>
            </w:pPr>
            <w:r w:rsidRPr="00CD72DC">
              <w:rPr>
                <w:color w:val="000000" w:themeColor="text1"/>
              </w:rPr>
              <w:t>Redundancy</w:t>
            </w:r>
          </w:p>
        </w:tc>
      </w:tr>
      <w:tr w:rsidR="00CD72DC" w:rsidRPr="00CD72DC" w:rsidTr="00C148E4">
        <w:trPr>
          <w:tblCellSpacing w:w="15" w:type="dxa"/>
          <w:jc w:val="center"/>
        </w:trPr>
        <w:tc>
          <w:tcPr>
            <w:tcW w:w="0" w:type="auto"/>
            <w:vAlign w:val="center"/>
            <w:hideMark/>
          </w:tcPr>
          <w:p w:rsidR="00CD72DC" w:rsidRPr="00CD72DC" w:rsidRDefault="00CD72DC">
            <w:pPr>
              <w:pStyle w:val="p1"/>
              <w:rPr>
                <w:color w:val="000000" w:themeColor="text1"/>
              </w:rPr>
            </w:pPr>
            <w:r w:rsidRPr="00CD72DC">
              <w:rPr>
                <w:color w:val="000000" w:themeColor="text1"/>
              </w:rPr>
              <w:t>Spatial recurrence</w:t>
            </w:r>
          </w:p>
        </w:tc>
        <w:tc>
          <w:tcPr>
            <w:tcW w:w="0" w:type="auto"/>
            <w:vAlign w:val="center"/>
            <w:hideMark/>
          </w:tcPr>
          <w:p w:rsidR="00CD72DC" w:rsidRPr="00CD72DC" w:rsidRDefault="00CD72DC">
            <w:pPr>
              <w:pStyle w:val="p1"/>
              <w:rPr>
                <w:color w:val="000000" w:themeColor="text1"/>
              </w:rPr>
            </w:pPr>
            <w:r w:rsidRPr="00CD72DC">
              <w:rPr>
                <w:color w:val="000000" w:themeColor="text1"/>
              </w:rPr>
              <w:t>Reused chambers/panels</w:t>
            </w:r>
          </w:p>
        </w:tc>
        <w:tc>
          <w:tcPr>
            <w:tcW w:w="0" w:type="auto"/>
            <w:vAlign w:val="center"/>
            <w:hideMark/>
          </w:tcPr>
          <w:p w:rsidR="00CD72DC" w:rsidRPr="00CD72DC" w:rsidRDefault="00CD72DC">
            <w:pPr>
              <w:pStyle w:val="p1"/>
              <w:rPr>
                <w:color w:val="000000" w:themeColor="text1"/>
              </w:rPr>
            </w:pPr>
            <w:r w:rsidRPr="00CD72DC">
              <w:rPr>
                <w:color w:val="000000" w:themeColor="text1"/>
              </w:rPr>
              <w:t>Mnemonic anchoring</w:t>
            </w:r>
          </w:p>
        </w:tc>
      </w:tr>
      <w:tr w:rsidR="00CD72DC" w:rsidRPr="00CD72DC" w:rsidTr="00C148E4">
        <w:trPr>
          <w:tblCellSpacing w:w="15" w:type="dxa"/>
          <w:jc w:val="center"/>
        </w:trPr>
        <w:tc>
          <w:tcPr>
            <w:tcW w:w="0" w:type="auto"/>
            <w:vAlign w:val="center"/>
            <w:hideMark/>
          </w:tcPr>
          <w:p w:rsidR="00CD72DC" w:rsidRPr="00CD72DC" w:rsidRDefault="00CD72DC">
            <w:pPr>
              <w:pStyle w:val="p1"/>
              <w:rPr>
                <w:color w:val="000000" w:themeColor="text1"/>
              </w:rPr>
            </w:pPr>
            <w:r w:rsidRPr="00CD72DC">
              <w:rPr>
                <w:color w:val="000000" w:themeColor="text1"/>
              </w:rPr>
              <w:t>Layering</w:t>
            </w:r>
          </w:p>
        </w:tc>
        <w:tc>
          <w:tcPr>
            <w:tcW w:w="0" w:type="auto"/>
            <w:vAlign w:val="center"/>
            <w:hideMark/>
          </w:tcPr>
          <w:p w:rsidR="00CD72DC" w:rsidRPr="00CD72DC" w:rsidRDefault="00CD72DC">
            <w:pPr>
              <w:pStyle w:val="p1"/>
              <w:rPr>
                <w:color w:val="000000" w:themeColor="text1"/>
              </w:rPr>
            </w:pPr>
            <w:r w:rsidRPr="00CD72DC">
              <w:rPr>
                <w:color w:val="000000" w:themeColor="text1"/>
              </w:rPr>
              <w:t>Multiple paint phases</w:t>
            </w:r>
          </w:p>
        </w:tc>
        <w:tc>
          <w:tcPr>
            <w:tcW w:w="0" w:type="auto"/>
            <w:vAlign w:val="center"/>
            <w:hideMark/>
          </w:tcPr>
          <w:p w:rsidR="00CD72DC" w:rsidRPr="00CD72DC" w:rsidRDefault="00CD72DC">
            <w:pPr>
              <w:pStyle w:val="p1"/>
              <w:rPr>
                <w:color w:val="000000" w:themeColor="text1"/>
              </w:rPr>
            </w:pPr>
            <w:r w:rsidRPr="00CD72DC">
              <w:rPr>
                <w:color w:val="000000" w:themeColor="text1"/>
              </w:rPr>
              <w:t>Temporal persistence</w:t>
            </w:r>
          </w:p>
        </w:tc>
      </w:tr>
      <w:tr w:rsidR="00CD72DC" w:rsidRPr="00CD72DC" w:rsidTr="00C148E4">
        <w:trPr>
          <w:tblCellSpacing w:w="15" w:type="dxa"/>
          <w:jc w:val="center"/>
        </w:trPr>
        <w:tc>
          <w:tcPr>
            <w:tcW w:w="0" w:type="auto"/>
            <w:vAlign w:val="center"/>
            <w:hideMark/>
          </w:tcPr>
          <w:p w:rsidR="00CD72DC" w:rsidRPr="00CD72DC" w:rsidRDefault="00CD72DC">
            <w:pPr>
              <w:pStyle w:val="p1"/>
              <w:rPr>
                <w:color w:val="000000" w:themeColor="text1"/>
              </w:rPr>
            </w:pPr>
            <w:r w:rsidRPr="00CD72DC">
              <w:rPr>
                <w:color w:val="000000" w:themeColor="text1"/>
              </w:rPr>
              <w:t>Grammar similarity</w:t>
            </w:r>
          </w:p>
        </w:tc>
        <w:tc>
          <w:tcPr>
            <w:tcW w:w="0" w:type="auto"/>
            <w:vAlign w:val="center"/>
            <w:hideMark/>
          </w:tcPr>
          <w:p w:rsidR="00CD72DC" w:rsidRPr="00CD72DC" w:rsidRDefault="00CD72DC">
            <w:pPr>
              <w:pStyle w:val="p1"/>
              <w:rPr>
                <w:color w:val="000000" w:themeColor="text1"/>
              </w:rPr>
            </w:pPr>
            <w:r w:rsidRPr="00CD72DC">
              <w:rPr>
                <w:color w:val="000000" w:themeColor="text1"/>
              </w:rPr>
              <w:t>Motif structure conserved</w:t>
            </w:r>
          </w:p>
        </w:tc>
        <w:tc>
          <w:tcPr>
            <w:tcW w:w="0" w:type="auto"/>
            <w:vAlign w:val="center"/>
            <w:hideMark/>
          </w:tcPr>
          <w:p w:rsidR="00CD72DC" w:rsidRPr="00CD72DC" w:rsidRDefault="00CD72DC">
            <w:pPr>
              <w:pStyle w:val="p1"/>
              <w:rPr>
                <w:color w:val="000000" w:themeColor="text1"/>
              </w:rPr>
            </w:pPr>
            <w:r w:rsidRPr="00CD72DC">
              <w:rPr>
                <w:color w:val="000000" w:themeColor="text1"/>
              </w:rPr>
              <w:t>Stabilization</w:t>
            </w:r>
          </w:p>
        </w:tc>
      </w:tr>
      <w:tr w:rsidR="00CD72DC" w:rsidRPr="00CD72DC" w:rsidTr="00C148E4">
        <w:trPr>
          <w:tblCellSpacing w:w="15" w:type="dxa"/>
          <w:jc w:val="center"/>
        </w:trPr>
        <w:tc>
          <w:tcPr>
            <w:tcW w:w="0" w:type="auto"/>
            <w:vAlign w:val="center"/>
            <w:hideMark/>
          </w:tcPr>
          <w:p w:rsidR="00CD72DC" w:rsidRPr="00CD72DC" w:rsidRDefault="00CD72DC">
            <w:pPr>
              <w:pStyle w:val="p1"/>
              <w:rPr>
                <w:color w:val="000000" w:themeColor="text1"/>
              </w:rPr>
            </w:pPr>
            <w:r w:rsidRPr="00CD72DC">
              <w:rPr>
                <w:color w:val="000000" w:themeColor="text1"/>
              </w:rPr>
              <w:t>Distribution</w:t>
            </w:r>
          </w:p>
        </w:tc>
        <w:tc>
          <w:tcPr>
            <w:tcW w:w="0" w:type="auto"/>
            <w:vAlign w:val="center"/>
            <w:hideMark/>
          </w:tcPr>
          <w:p w:rsidR="00CD72DC" w:rsidRPr="00CD72DC" w:rsidRDefault="00CD72DC">
            <w:pPr>
              <w:pStyle w:val="p1"/>
              <w:rPr>
                <w:color w:val="000000" w:themeColor="text1"/>
              </w:rPr>
            </w:pPr>
            <w:r w:rsidRPr="00CD72DC">
              <w:rPr>
                <w:color w:val="000000" w:themeColor="text1"/>
              </w:rPr>
              <w:t>Multi-site presence</w:t>
            </w:r>
          </w:p>
        </w:tc>
        <w:tc>
          <w:tcPr>
            <w:tcW w:w="0" w:type="auto"/>
            <w:vAlign w:val="center"/>
            <w:hideMark/>
          </w:tcPr>
          <w:p w:rsidR="00CD72DC" w:rsidRPr="00CD72DC" w:rsidRDefault="00CD72DC">
            <w:pPr>
              <w:pStyle w:val="p1"/>
              <w:rPr>
                <w:color w:val="000000" w:themeColor="text1"/>
              </w:rPr>
            </w:pPr>
            <w:r w:rsidRPr="00CD72DC">
              <w:rPr>
                <w:color w:val="000000" w:themeColor="text1"/>
              </w:rPr>
              <w:t>Scalability</w:t>
            </w:r>
          </w:p>
        </w:tc>
      </w:tr>
    </w:tbl>
    <w:p w:rsidR="00CD72DC" w:rsidRDefault="00CD72DC"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Pr="00CD72DC" w:rsidRDefault="00C148E4" w:rsidP="00CD72DC">
      <w:pPr>
        <w:rPr>
          <w:rStyle w:val="s1"/>
          <w:rFonts w:ascii="Times New Roman" w:hAnsi="Times New Roman" w:cs="Times New Roman"/>
          <w:color w:val="000000" w:themeColor="text1"/>
        </w:rPr>
      </w:pPr>
    </w:p>
    <w:p w:rsidR="00CD72DC" w:rsidRPr="00C148E4" w:rsidRDefault="00CD72DC" w:rsidP="00CD72DC">
      <w:pPr>
        <w:pStyle w:val="Heading2"/>
        <w:rPr>
          <w:rFonts w:ascii="Times New Roman" w:hAnsi="Times New Roman" w:cs="Times New Roman"/>
          <w:b/>
          <w:bCs/>
          <w:color w:val="000000" w:themeColor="text1"/>
          <w:sz w:val="28"/>
          <w:szCs w:val="28"/>
        </w:rPr>
      </w:pPr>
      <w:r w:rsidRPr="00C148E4">
        <w:rPr>
          <w:rFonts w:ascii="Times New Roman" w:hAnsi="Times New Roman" w:cs="Times New Roman"/>
          <w:b/>
          <w:bCs/>
          <w:color w:val="000000" w:themeColor="text1"/>
          <w:sz w:val="28"/>
          <w:szCs w:val="28"/>
        </w:rPr>
        <w:lastRenderedPageBreak/>
        <w:t>Competing Explanatory Models</w:t>
      </w:r>
    </w:p>
    <w:p w:rsidR="00CD72DC" w:rsidRPr="00CD72DC" w:rsidRDefault="00CD72DC" w:rsidP="00C148E4">
      <w:pPr>
        <w:pStyle w:val="p3"/>
        <w:rPr>
          <w:color w:val="000000" w:themeColor="text1"/>
        </w:rPr>
      </w:pPr>
      <w:r w:rsidRPr="00CD72DC">
        <w:rPr>
          <w:color w:val="000000" w:themeColor="text1"/>
        </w:rPr>
        <w:t>Several alternative interpretations can account for early cave markings:</w:t>
      </w:r>
    </w:p>
    <w:p w:rsidR="00CD72DC" w:rsidRPr="00CD72DC" w:rsidRDefault="00CD72DC" w:rsidP="00C148E4">
      <w:pPr>
        <w:pStyle w:val="p3"/>
        <w:rPr>
          <w:color w:val="000000" w:themeColor="text1"/>
        </w:rPr>
      </w:pPr>
      <w:r w:rsidRPr="00C148E4">
        <w:rPr>
          <w:rStyle w:val="s2"/>
          <w:b/>
          <w:bCs/>
          <w:i/>
          <w:iCs/>
          <w:color w:val="000000" w:themeColor="text1"/>
        </w:rPr>
        <w:t>Expressive Behavior Model</w:t>
      </w:r>
      <w:r w:rsidRPr="00CD72DC">
        <w:rPr>
          <w:rStyle w:val="s2"/>
          <w:b/>
          <w:bCs/>
          <w:color w:val="000000" w:themeColor="text1"/>
        </w:rPr>
        <w:t>:</w:t>
      </w:r>
      <w:r w:rsidRPr="00CD72DC">
        <w:rPr>
          <w:color w:val="000000" w:themeColor="text1"/>
        </w:rPr>
        <w:t xml:space="preserve"> Motifs represent episodic or individual symbolic expression without stabilized rule systems. Under this model, repetition reflects convergent human tendencies rather than structured transmission.</w:t>
      </w:r>
    </w:p>
    <w:p w:rsidR="00CD72DC" w:rsidRPr="00CD72DC" w:rsidRDefault="00CD72DC" w:rsidP="00C148E4">
      <w:pPr>
        <w:pStyle w:val="p3"/>
        <w:rPr>
          <w:color w:val="000000" w:themeColor="text1"/>
        </w:rPr>
      </w:pPr>
      <w:r w:rsidRPr="00C148E4">
        <w:rPr>
          <w:rStyle w:val="s2"/>
          <w:b/>
          <w:bCs/>
          <w:i/>
          <w:iCs/>
          <w:color w:val="000000" w:themeColor="text1"/>
        </w:rPr>
        <w:t>Ritual Marking Model</w:t>
      </w:r>
      <w:r w:rsidRPr="00CD72DC">
        <w:rPr>
          <w:rStyle w:val="s2"/>
          <w:b/>
          <w:bCs/>
          <w:color w:val="000000" w:themeColor="text1"/>
        </w:rPr>
        <w:t>:</w:t>
      </w:r>
      <w:r w:rsidRPr="00CD72DC">
        <w:rPr>
          <w:color w:val="000000" w:themeColor="text1"/>
        </w:rPr>
        <w:t xml:space="preserve"> Cave art reflects ritual acts tied to place but not necessarily stabilized symbolic grammar. Persistence is ritual recurrence rather than symbolic infrastructure.</w:t>
      </w:r>
    </w:p>
    <w:p w:rsidR="00CD72DC" w:rsidRPr="00CD72DC" w:rsidRDefault="00CD72DC" w:rsidP="00C148E4">
      <w:pPr>
        <w:pStyle w:val="p3"/>
        <w:rPr>
          <w:color w:val="000000" w:themeColor="text1"/>
        </w:rPr>
      </w:pPr>
      <w:r w:rsidRPr="00C148E4">
        <w:rPr>
          <w:rStyle w:val="s2"/>
          <w:b/>
          <w:bCs/>
          <w:i/>
          <w:iCs/>
          <w:color w:val="000000" w:themeColor="text1"/>
        </w:rPr>
        <w:t>Costly Signaling Model</w:t>
      </w:r>
      <w:r w:rsidRPr="00CD72DC">
        <w:rPr>
          <w:rStyle w:val="s2"/>
          <w:b/>
          <w:bCs/>
          <w:color w:val="000000" w:themeColor="text1"/>
        </w:rPr>
        <w:t>:</w:t>
      </w:r>
      <w:r w:rsidRPr="00CD72DC">
        <w:rPr>
          <w:color w:val="000000" w:themeColor="text1"/>
        </w:rPr>
        <w:t xml:space="preserve"> Deep cave placement functions as commitment signaling without requiring mnemonic or regulatory symbolic architecture.</w:t>
      </w:r>
    </w:p>
    <w:p w:rsidR="00CD72DC" w:rsidRPr="00CD72DC" w:rsidRDefault="00CD72DC" w:rsidP="00C148E4">
      <w:pPr>
        <w:pStyle w:val="p3"/>
        <w:rPr>
          <w:color w:val="000000" w:themeColor="text1"/>
        </w:rPr>
      </w:pPr>
      <w:r w:rsidRPr="00CD72DC">
        <w:rPr>
          <w:color w:val="000000" w:themeColor="text1"/>
        </w:rPr>
        <w:t xml:space="preserve">DSSM differs by predicting </w:t>
      </w:r>
      <w:r w:rsidRPr="00CD72DC">
        <w:rPr>
          <w:i/>
          <w:iCs/>
          <w:color w:val="000000" w:themeColor="text1"/>
        </w:rPr>
        <w:t>combined</w:t>
      </w:r>
      <w:r w:rsidRPr="00CD72DC">
        <w:rPr>
          <w:color w:val="000000" w:themeColor="text1"/>
        </w:rPr>
        <w:t xml:space="preserve"> signals: motif conservation, spatial anchoring, cross-site redundancy, layered reuse, and tolerated execution variance within stable form. If only one or two of these signals appear, competing models may provide better explanations. The Indonesian record appears — cautiously — to show multi-signal convergence, which is why DSSM remains explanatorily competitive rather than exclusive.</w:t>
      </w:r>
    </w:p>
    <w:p w:rsidR="00CD72DC" w:rsidRPr="00CD72DC" w:rsidRDefault="00CD72DC" w:rsidP="00CD72DC">
      <w:pPr>
        <w:pStyle w:val="Heading3"/>
        <w:rPr>
          <w:color w:val="000000" w:themeColor="text1"/>
        </w:rPr>
      </w:pPr>
      <w:r w:rsidRPr="00CD72DC">
        <w:rPr>
          <w:color w:val="000000" w:themeColor="text1"/>
        </w:rPr>
        <w:t>Model Comparison Matrix</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7"/>
        <w:gridCol w:w="1993"/>
        <w:gridCol w:w="2321"/>
        <w:gridCol w:w="1988"/>
        <w:gridCol w:w="2365"/>
      </w:tblGrid>
      <w:tr w:rsidR="00CD72DC" w:rsidRPr="00CD72DC" w:rsidTr="00C148E4">
        <w:trPr>
          <w:tblHeader/>
          <w:tblCellSpacing w:w="15" w:type="dxa"/>
        </w:trPr>
        <w:tc>
          <w:tcPr>
            <w:tcW w:w="0" w:type="auto"/>
            <w:vAlign w:val="center"/>
            <w:hideMark/>
          </w:tcPr>
          <w:p w:rsidR="00CD72DC" w:rsidRPr="00CD72DC" w:rsidRDefault="00CD72DC" w:rsidP="00C148E4">
            <w:pPr>
              <w:pStyle w:val="p1"/>
              <w:jc w:val="center"/>
              <w:rPr>
                <w:b/>
                <w:bCs/>
                <w:color w:val="000000" w:themeColor="text1"/>
              </w:rPr>
            </w:pPr>
            <w:r w:rsidRPr="00CD72DC">
              <w:rPr>
                <w:b/>
                <w:bCs/>
                <w:color w:val="000000" w:themeColor="text1"/>
              </w:rPr>
              <w:t>Model</w:t>
            </w:r>
          </w:p>
        </w:tc>
        <w:tc>
          <w:tcPr>
            <w:tcW w:w="0" w:type="auto"/>
            <w:vAlign w:val="center"/>
            <w:hideMark/>
          </w:tcPr>
          <w:p w:rsidR="00CD72DC" w:rsidRPr="00CD72DC" w:rsidRDefault="00CD72DC" w:rsidP="00C148E4">
            <w:pPr>
              <w:pStyle w:val="p1"/>
              <w:jc w:val="center"/>
              <w:rPr>
                <w:b/>
                <w:bCs/>
                <w:color w:val="000000" w:themeColor="text1"/>
              </w:rPr>
            </w:pPr>
            <w:r w:rsidRPr="00CD72DC">
              <w:rPr>
                <w:b/>
                <w:bCs/>
                <w:color w:val="000000" w:themeColor="text1"/>
              </w:rPr>
              <w:t>Predicts Motif Stability</w:t>
            </w:r>
          </w:p>
        </w:tc>
        <w:tc>
          <w:tcPr>
            <w:tcW w:w="0" w:type="auto"/>
            <w:vAlign w:val="center"/>
            <w:hideMark/>
          </w:tcPr>
          <w:p w:rsidR="00CD72DC" w:rsidRPr="00CD72DC" w:rsidRDefault="00CD72DC" w:rsidP="00C148E4">
            <w:pPr>
              <w:pStyle w:val="p1"/>
              <w:jc w:val="center"/>
              <w:rPr>
                <w:b/>
                <w:bCs/>
                <w:color w:val="000000" w:themeColor="text1"/>
              </w:rPr>
            </w:pPr>
            <w:r w:rsidRPr="00CD72DC">
              <w:rPr>
                <w:b/>
                <w:bCs/>
                <w:color w:val="000000" w:themeColor="text1"/>
              </w:rPr>
              <w:t>Predicts Spatial Anchoring</w:t>
            </w:r>
          </w:p>
        </w:tc>
        <w:tc>
          <w:tcPr>
            <w:tcW w:w="0" w:type="auto"/>
            <w:vAlign w:val="center"/>
            <w:hideMark/>
          </w:tcPr>
          <w:p w:rsidR="00CD72DC" w:rsidRPr="00CD72DC" w:rsidRDefault="00CD72DC" w:rsidP="00C148E4">
            <w:pPr>
              <w:pStyle w:val="p1"/>
              <w:jc w:val="center"/>
              <w:rPr>
                <w:b/>
                <w:bCs/>
                <w:color w:val="000000" w:themeColor="text1"/>
              </w:rPr>
            </w:pPr>
            <w:r w:rsidRPr="00CD72DC">
              <w:rPr>
                <w:b/>
                <w:bCs/>
                <w:color w:val="000000" w:themeColor="text1"/>
              </w:rPr>
              <w:t>Predicts Redundancy</w:t>
            </w:r>
          </w:p>
        </w:tc>
        <w:tc>
          <w:tcPr>
            <w:tcW w:w="0" w:type="auto"/>
            <w:vAlign w:val="center"/>
            <w:hideMark/>
          </w:tcPr>
          <w:p w:rsidR="00CD72DC" w:rsidRPr="00CD72DC" w:rsidRDefault="00CD72DC" w:rsidP="00C148E4">
            <w:pPr>
              <w:pStyle w:val="p1"/>
              <w:jc w:val="center"/>
              <w:rPr>
                <w:b/>
                <w:bCs/>
                <w:color w:val="000000" w:themeColor="text1"/>
              </w:rPr>
            </w:pPr>
            <w:r w:rsidRPr="00CD72DC">
              <w:rPr>
                <w:b/>
                <w:bCs/>
                <w:color w:val="000000" w:themeColor="text1"/>
              </w:rPr>
              <w:t>Multi-Signal Requirement</w:t>
            </w:r>
          </w:p>
        </w:tc>
      </w:tr>
      <w:tr w:rsidR="00CD72DC" w:rsidRPr="00CD72DC" w:rsidTr="00C148E4">
        <w:trPr>
          <w:tblCellSpacing w:w="15" w:type="dxa"/>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Expressive</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Low</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w:t>
            </w:r>
          </w:p>
        </w:tc>
      </w:tr>
      <w:tr w:rsidR="00CD72DC" w:rsidRPr="00CD72DC" w:rsidTr="00C148E4">
        <w:trPr>
          <w:tblCellSpacing w:w="15" w:type="dxa"/>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Ritual Marking</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Partial</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Yes</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Partial</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w:t>
            </w:r>
          </w:p>
        </w:tc>
      </w:tr>
      <w:tr w:rsidR="00CD72DC" w:rsidRPr="00CD72DC" w:rsidTr="00C148E4">
        <w:trPr>
          <w:tblCellSpacing w:w="15" w:type="dxa"/>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Costly Signaling</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Yes</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w:t>
            </w:r>
          </w:p>
        </w:tc>
      </w:tr>
      <w:tr w:rsidR="00CD72DC" w:rsidRPr="00CD72DC" w:rsidTr="00C148E4">
        <w:trPr>
          <w:tblCellSpacing w:w="15" w:type="dxa"/>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DSSM</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Yes</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Yes</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Yes</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Yes</w:t>
            </w:r>
          </w:p>
        </w:tc>
      </w:tr>
    </w:tbl>
    <w:p w:rsidR="00CD72DC" w:rsidRDefault="00CD72DC"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Pr="00CD72DC" w:rsidRDefault="00C148E4" w:rsidP="00CD72DC">
      <w:pPr>
        <w:rPr>
          <w:rStyle w:val="s1"/>
          <w:rFonts w:ascii="Times New Roman" w:hAnsi="Times New Roman" w:cs="Times New Roman"/>
          <w:color w:val="000000" w:themeColor="text1"/>
        </w:rPr>
      </w:pPr>
    </w:p>
    <w:p w:rsidR="00CD72DC" w:rsidRPr="00C148E4" w:rsidRDefault="00CD72DC" w:rsidP="00C148E4">
      <w:pPr>
        <w:pStyle w:val="Heading2"/>
        <w:rPr>
          <w:rFonts w:ascii="Times New Roman" w:hAnsi="Times New Roman" w:cs="Times New Roman"/>
          <w:b/>
          <w:bCs/>
          <w:color w:val="000000" w:themeColor="text1"/>
          <w:sz w:val="28"/>
          <w:szCs w:val="28"/>
        </w:rPr>
      </w:pPr>
      <w:r w:rsidRPr="00C148E4">
        <w:rPr>
          <w:rFonts w:ascii="Times New Roman" w:hAnsi="Times New Roman" w:cs="Times New Roman"/>
          <w:b/>
          <w:bCs/>
          <w:color w:val="000000" w:themeColor="text1"/>
          <w:sz w:val="28"/>
          <w:szCs w:val="28"/>
        </w:rPr>
        <w:lastRenderedPageBreak/>
        <w:t>DSSM Falsification Conditions</w:t>
      </w:r>
    </w:p>
    <w:p w:rsidR="00CD72DC" w:rsidRPr="00CD72DC" w:rsidRDefault="00CD72DC" w:rsidP="00CD72DC">
      <w:pPr>
        <w:pStyle w:val="p3"/>
        <w:rPr>
          <w:color w:val="000000" w:themeColor="text1"/>
        </w:rPr>
      </w:pPr>
      <w:r w:rsidRPr="00CD72DC">
        <w:rPr>
          <w:color w:val="000000" w:themeColor="text1"/>
        </w:rPr>
        <w:t>The DSSM interpretation would be weakened or rejected if systematic analysis showed:</w:t>
      </w:r>
    </w:p>
    <w:p w:rsidR="00CD72DC" w:rsidRPr="00CD72DC" w:rsidRDefault="00CD72DC" w:rsidP="00CD72DC">
      <w:pPr>
        <w:pStyle w:val="p1"/>
        <w:numPr>
          <w:ilvl w:val="0"/>
          <w:numId w:val="26"/>
        </w:numPr>
        <w:rPr>
          <w:color w:val="000000" w:themeColor="text1"/>
        </w:rPr>
      </w:pPr>
      <w:r w:rsidRPr="00CD72DC">
        <w:rPr>
          <w:color w:val="000000" w:themeColor="text1"/>
        </w:rPr>
        <w:t>motif forms vary randomly without structural conservation</w:t>
      </w:r>
    </w:p>
    <w:p w:rsidR="00CD72DC" w:rsidRPr="00CD72DC" w:rsidRDefault="00CD72DC" w:rsidP="00CD72DC">
      <w:pPr>
        <w:pStyle w:val="p1"/>
        <w:numPr>
          <w:ilvl w:val="0"/>
          <w:numId w:val="26"/>
        </w:numPr>
        <w:rPr>
          <w:color w:val="000000" w:themeColor="text1"/>
        </w:rPr>
      </w:pPr>
      <w:r w:rsidRPr="00CD72DC">
        <w:rPr>
          <w:color w:val="000000" w:themeColor="text1"/>
        </w:rPr>
        <w:t>panel placement is spatially random relative to cave topology</w:t>
      </w:r>
    </w:p>
    <w:p w:rsidR="00CD72DC" w:rsidRPr="00CD72DC" w:rsidRDefault="00CD72DC" w:rsidP="00CD72DC">
      <w:pPr>
        <w:pStyle w:val="p1"/>
        <w:numPr>
          <w:ilvl w:val="0"/>
          <w:numId w:val="26"/>
        </w:numPr>
        <w:rPr>
          <w:color w:val="000000" w:themeColor="text1"/>
        </w:rPr>
      </w:pPr>
      <w:r w:rsidRPr="00CD72DC">
        <w:rPr>
          <w:color w:val="000000" w:themeColor="text1"/>
        </w:rPr>
        <w:t>no evidence of cross-generational reuse exists</w:t>
      </w:r>
    </w:p>
    <w:p w:rsidR="00CD72DC" w:rsidRPr="00CD72DC" w:rsidRDefault="00CD72DC" w:rsidP="00CD72DC">
      <w:pPr>
        <w:pStyle w:val="p1"/>
        <w:numPr>
          <w:ilvl w:val="0"/>
          <w:numId w:val="26"/>
        </w:numPr>
        <w:rPr>
          <w:color w:val="000000" w:themeColor="text1"/>
        </w:rPr>
      </w:pPr>
      <w:r w:rsidRPr="00CD72DC">
        <w:rPr>
          <w:color w:val="000000" w:themeColor="text1"/>
        </w:rPr>
        <w:t>repetition frequency matches stochastic marking models</w:t>
      </w:r>
    </w:p>
    <w:p w:rsidR="00CD72DC" w:rsidRPr="00CD72DC" w:rsidRDefault="00CD72DC" w:rsidP="00CD72DC">
      <w:pPr>
        <w:pStyle w:val="p1"/>
        <w:numPr>
          <w:ilvl w:val="0"/>
          <w:numId w:val="26"/>
        </w:numPr>
        <w:rPr>
          <w:color w:val="000000" w:themeColor="text1"/>
        </w:rPr>
      </w:pPr>
      <w:r w:rsidRPr="00CD72DC">
        <w:rPr>
          <w:color w:val="000000" w:themeColor="text1"/>
        </w:rPr>
        <w:t>redundancy and error tolerance signals are absent</w:t>
      </w:r>
    </w:p>
    <w:p w:rsidR="00CD72DC" w:rsidRPr="00C148E4" w:rsidRDefault="00CD72DC" w:rsidP="00CD72DC">
      <w:pPr>
        <w:pStyle w:val="p1"/>
        <w:numPr>
          <w:ilvl w:val="0"/>
          <w:numId w:val="26"/>
        </w:numPr>
        <w:rPr>
          <w:color w:val="000000" w:themeColor="text1"/>
        </w:rPr>
      </w:pPr>
      <w:r w:rsidRPr="00CD72DC">
        <w:rPr>
          <w:color w:val="000000" w:themeColor="text1"/>
        </w:rPr>
        <w:t>symbolic production shows no cross-site structural similarity</w:t>
      </w:r>
    </w:p>
    <w:p w:rsidR="00CD72DC" w:rsidRPr="00CD72DC" w:rsidRDefault="00CD72DC" w:rsidP="00C148E4">
      <w:pPr>
        <w:pStyle w:val="p3"/>
        <w:rPr>
          <w:color w:val="000000" w:themeColor="text1"/>
        </w:rPr>
      </w:pPr>
      <w:r w:rsidRPr="00CD72DC">
        <w:rPr>
          <w:color w:val="000000" w:themeColor="text1"/>
        </w:rPr>
        <w:t>These criteria make DSSM empirically vulnerable rather than interpretively closed.</w:t>
      </w:r>
    </w:p>
    <w:p w:rsidR="00CD72DC" w:rsidRPr="00CD72DC" w:rsidRDefault="00CD72DC" w:rsidP="00CD72DC">
      <w:pPr>
        <w:pStyle w:val="Heading3"/>
        <w:rPr>
          <w:color w:val="000000" w:themeColor="text1"/>
        </w:rPr>
      </w:pPr>
      <w:r w:rsidRPr="00CD72DC">
        <w:rPr>
          <w:color w:val="000000" w:themeColor="text1"/>
        </w:rPr>
        <w:t>DSSM Falsification Triggers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8"/>
        <w:gridCol w:w="2256"/>
      </w:tblGrid>
      <w:tr w:rsidR="00CD72DC" w:rsidRPr="00CD72DC" w:rsidTr="00C148E4">
        <w:trPr>
          <w:tblHeader/>
          <w:tblCellSpacing w:w="15" w:type="dxa"/>
          <w:jc w:val="center"/>
        </w:trPr>
        <w:tc>
          <w:tcPr>
            <w:tcW w:w="0" w:type="auto"/>
            <w:vAlign w:val="center"/>
            <w:hideMark/>
          </w:tcPr>
          <w:p w:rsidR="00CD72DC" w:rsidRPr="00CD72DC" w:rsidRDefault="00CD72DC" w:rsidP="00C148E4">
            <w:pPr>
              <w:pStyle w:val="p1"/>
              <w:jc w:val="center"/>
              <w:rPr>
                <w:b/>
                <w:bCs/>
                <w:color w:val="000000" w:themeColor="text1"/>
              </w:rPr>
            </w:pPr>
            <w:r w:rsidRPr="00CD72DC">
              <w:rPr>
                <w:b/>
                <w:bCs/>
                <w:color w:val="000000" w:themeColor="text1"/>
              </w:rPr>
              <w:t>Finding</w:t>
            </w:r>
          </w:p>
        </w:tc>
        <w:tc>
          <w:tcPr>
            <w:tcW w:w="0" w:type="auto"/>
            <w:vAlign w:val="center"/>
            <w:hideMark/>
          </w:tcPr>
          <w:p w:rsidR="00CD72DC" w:rsidRPr="00CD72DC" w:rsidRDefault="00CD72DC" w:rsidP="00C148E4">
            <w:pPr>
              <w:pStyle w:val="p1"/>
              <w:jc w:val="center"/>
              <w:rPr>
                <w:b/>
                <w:bCs/>
                <w:color w:val="000000" w:themeColor="text1"/>
              </w:rPr>
            </w:pPr>
            <w:r w:rsidRPr="00CD72DC">
              <w:rPr>
                <w:b/>
                <w:bCs/>
                <w:color w:val="000000" w:themeColor="text1"/>
              </w:rPr>
              <w:t>DSSM Status Impact</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High motif randomness</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Contradiction</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 panel reuse</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Contradiction</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 redundancy</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Weakens</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 spatial constraint</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Weakens</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No cross-site structure</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Contradiction</w:t>
            </w:r>
          </w:p>
        </w:tc>
      </w:tr>
      <w:tr w:rsidR="00CD72DC" w:rsidRPr="00CD72DC" w:rsidTr="00C148E4">
        <w:trPr>
          <w:tblCellSpacing w:w="15" w:type="dxa"/>
          <w:jc w:val="center"/>
        </w:trPr>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Purely stochastic repetition</w:t>
            </w:r>
          </w:p>
        </w:tc>
        <w:tc>
          <w:tcPr>
            <w:tcW w:w="0" w:type="auto"/>
            <w:vAlign w:val="center"/>
            <w:hideMark/>
          </w:tcPr>
          <w:p w:rsidR="00CD72DC" w:rsidRPr="00CD72DC" w:rsidRDefault="00CD72DC" w:rsidP="00C148E4">
            <w:pPr>
              <w:pStyle w:val="p1"/>
              <w:jc w:val="center"/>
              <w:rPr>
                <w:color w:val="000000" w:themeColor="text1"/>
              </w:rPr>
            </w:pPr>
            <w:r w:rsidRPr="00CD72DC">
              <w:rPr>
                <w:color w:val="000000" w:themeColor="text1"/>
              </w:rPr>
              <w:t>Contradiction</w:t>
            </w:r>
          </w:p>
        </w:tc>
      </w:tr>
    </w:tbl>
    <w:p w:rsidR="00CD72DC" w:rsidRPr="00CD72DC" w:rsidRDefault="00CD72DC" w:rsidP="00CD72DC">
      <w:pPr>
        <w:rPr>
          <w:rStyle w:val="s1"/>
          <w:rFonts w:ascii="Times New Roman" w:hAnsi="Times New Roman" w:cs="Times New Roman"/>
          <w:color w:val="000000" w:themeColor="text1"/>
        </w:rPr>
      </w:pPr>
    </w:p>
    <w:p w:rsidR="00C148E4" w:rsidRDefault="00C148E4" w:rsidP="00CD72DC">
      <w:pPr>
        <w:pStyle w:val="Heading2"/>
        <w:rPr>
          <w:rFonts w:ascii="Times New Roman" w:hAnsi="Times New Roman" w:cs="Times New Roman"/>
          <w:color w:val="000000" w:themeColor="text1"/>
        </w:rPr>
      </w:pPr>
    </w:p>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Default="00C148E4" w:rsidP="00C148E4"/>
    <w:p w:rsidR="00C148E4" w:rsidRPr="00C148E4" w:rsidRDefault="00C148E4" w:rsidP="00C148E4"/>
    <w:p w:rsidR="00C148E4" w:rsidRDefault="00C148E4" w:rsidP="00CD72DC">
      <w:pPr>
        <w:pStyle w:val="Heading2"/>
        <w:rPr>
          <w:rFonts w:ascii="Times New Roman" w:hAnsi="Times New Roman" w:cs="Times New Roman"/>
          <w:color w:val="000000" w:themeColor="text1"/>
        </w:rPr>
      </w:pPr>
    </w:p>
    <w:p w:rsidR="00CD72DC" w:rsidRPr="00C148E4" w:rsidRDefault="00CD72DC" w:rsidP="00C148E4">
      <w:pPr>
        <w:pStyle w:val="Heading2"/>
        <w:rPr>
          <w:rFonts w:ascii="Times New Roman" w:hAnsi="Times New Roman" w:cs="Times New Roman"/>
          <w:b/>
          <w:bCs/>
          <w:color w:val="000000" w:themeColor="text1"/>
          <w:sz w:val="28"/>
          <w:szCs w:val="28"/>
        </w:rPr>
      </w:pPr>
      <w:r w:rsidRPr="00C148E4">
        <w:rPr>
          <w:rFonts w:ascii="Times New Roman" w:hAnsi="Times New Roman" w:cs="Times New Roman"/>
          <w:b/>
          <w:bCs/>
          <w:color w:val="000000" w:themeColor="text1"/>
          <w:sz w:val="28"/>
          <w:szCs w:val="28"/>
        </w:rPr>
        <w:t>Structural Comparison Across Deep Time</w:t>
      </w:r>
    </w:p>
    <w:p w:rsidR="00CD72DC" w:rsidRPr="00CD72DC" w:rsidRDefault="00CD72DC" w:rsidP="00C148E4">
      <w:pPr>
        <w:pStyle w:val="p3"/>
        <w:ind w:firstLine="720"/>
        <w:rPr>
          <w:color w:val="000000" w:themeColor="text1"/>
        </w:rPr>
      </w:pPr>
      <w:r w:rsidRPr="00CD72DC">
        <w:rPr>
          <w:color w:val="000000" w:themeColor="text1"/>
        </w:rPr>
        <w:t>DSSM permits structural comparison across symbolic systems without requiring cultural continuity or diffusion. Caves, enclosures, and monuments can all function as mnemonic anchors despite material differences. Indonesian cave systems appear to demonstrate symbolic density without visible institutional authority markers, suggesting — but not proving — distributed symbolic governance configurations.</w:t>
      </w:r>
    </w:p>
    <w:p w:rsidR="00CD72DC" w:rsidRPr="00C148E4" w:rsidRDefault="00CD72DC" w:rsidP="00CD72DC">
      <w:pPr>
        <w:pStyle w:val="p3"/>
        <w:rPr>
          <w:i/>
          <w:iCs/>
          <w:color w:val="000000" w:themeColor="text1"/>
        </w:rPr>
      </w:pPr>
      <w:r w:rsidRPr="00C148E4">
        <w:rPr>
          <w:i/>
          <w:iCs/>
          <w:color w:val="000000" w:themeColor="text1"/>
        </w:rPr>
        <w:t>This comparison is structural, not genealogical.</w:t>
      </w:r>
    </w:p>
    <w:p w:rsidR="00CD72DC" w:rsidRPr="00CD72DC" w:rsidRDefault="00CD72DC" w:rsidP="00CD72DC">
      <w:pPr>
        <w:rPr>
          <w:rStyle w:val="s1"/>
          <w:rFonts w:ascii="Times New Roman" w:hAnsi="Times New Roman" w:cs="Times New Roman"/>
          <w:color w:val="000000" w:themeColor="text1"/>
        </w:rPr>
      </w:pPr>
    </w:p>
    <w:p w:rsidR="00CD72DC" w:rsidRPr="00C148E4" w:rsidRDefault="00CD72DC" w:rsidP="00C148E4">
      <w:pPr>
        <w:pStyle w:val="Heading2"/>
        <w:rPr>
          <w:rFonts w:ascii="Times New Roman" w:hAnsi="Times New Roman" w:cs="Times New Roman"/>
          <w:b/>
          <w:bCs/>
          <w:color w:val="000000" w:themeColor="text1"/>
          <w:sz w:val="28"/>
          <w:szCs w:val="28"/>
        </w:rPr>
      </w:pPr>
      <w:r w:rsidRPr="00C148E4">
        <w:rPr>
          <w:rFonts w:ascii="Times New Roman" w:hAnsi="Times New Roman" w:cs="Times New Roman"/>
          <w:b/>
          <w:bCs/>
          <w:color w:val="000000" w:themeColor="text1"/>
          <w:sz w:val="28"/>
          <w:szCs w:val="28"/>
        </w:rPr>
        <w:t>Migration and Transmission Implications</w:t>
      </w:r>
    </w:p>
    <w:p w:rsidR="00CD72DC" w:rsidRDefault="00CD72DC" w:rsidP="00C148E4">
      <w:pPr>
        <w:pStyle w:val="p3"/>
        <w:ind w:firstLine="720"/>
        <w:rPr>
          <w:color w:val="000000" w:themeColor="text1"/>
        </w:rPr>
      </w:pPr>
      <w:r w:rsidRPr="00CD72DC">
        <w:rPr>
          <w:color w:val="000000" w:themeColor="text1"/>
        </w:rPr>
        <w:t>Chronology broadly overlaps with Wallacea–Sahul dispersal windows (~65 ka). Symbolic practices plausibly traveled with populations rather than emerging only after settlement stabilization. This interpretation is consistent with DSSM portability expectations but remains contingent on future finds and transmission modeling.</w:t>
      </w:r>
    </w:p>
    <w:p w:rsidR="00C148E4" w:rsidRPr="00C148E4" w:rsidRDefault="00C148E4" w:rsidP="00C148E4">
      <w:pPr>
        <w:pStyle w:val="p3"/>
        <w:ind w:firstLine="720"/>
        <w:rPr>
          <w:rStyle w:val="s1"/>
          <w:color w:val="000000" w:themeColor="text1"/>
        </w:rPr>
      </w:pPr>
    </w:p>
    <w:p w:rsidR="00CD72DC" w:rsidRPr="00C148E4" w:rsidRDefault="00CD72DC" w:rsidP="00C148E4">
      <w:pPr>
        <w:pStyle w:val="Heading2"/>
        <w:rPr>
          <w:rFonts w:ascii="Times New Roman" w:hAnsi="Times New Roman" w:cs="Times New Roman"/>
          <w:b/>
          <w:bCs/>
          <w:color w:val="000000" w:themeColor="text1"/>
          <w:sz w:val="28"/>
          <w:szCs w:val="28"/>
        </w:rPr>
      </w:pPr>
      <w:r w:rsidRPr="00C148E4">
        <w:rPr>
          <w:rFonts w:ascii="Times New Roman" w:hAnsi="Times New Roman" w:cs="Times New Roman"/>
          <w:b/>
          <w:bCs/>
          <w:color w:val="000000" w:themeColor="text1"/>
          <w:sz w:val="28"/>
          <w:szCs w:val="28"/>
        </w:rPr>
        <w:t>Limitations and Dating Constraints</w:t>
      </w:r>
    </w:p>
    <w:p w:rsidR="00CD72DC" w:rsidRPr="00CD72DC" w:rsidRDefault="00CD72DC" w:rsidP="00C148E4">
      <w:pPr>
        <w:pStyle w:val="p3"/>
        <w:ind w:firstLine="720"/>
        <w:rPr>
          <w:color w:val="000000" w:themeColor="text1"/>
        </w:rPr>
      </w:pPr>
      <w:r w:rsidRPr="00CD72DC">
        <w:rPr>
          <w:color w:val="000000" w:themeColor="text1"/>
        </w:rPr>
        <w:t>Uranium-series dating provides minimum ages for overlying mineral deposits rather than direct pigment dates. Motif execution may predate measured ages by unknown intervals. Sample coverage is uneven across cave networks, introducing preservation and discovery bias. Panel reuse interpretations depend on stratigraphic reading of calcite layers, which may vary in formation rate. Behavioral inference from spatial placement cannot fully resolve social meaning or authority structure. Cross-site comparisons rely on structural similarity rather than demonstrated cultural linkage. These constraints limit interpretive certainty but do not eliminate structural pattern detection.</w:t>
      </w:r>
    </w:p>
    <w:p w:rsidR="00CD72DC" w:rsidRPr="00CD72DC" w:rsidRDefault="00CD72DC" w:rsidP="00CD72DC">
      <w:pPr>
        <w:rPr>
          <w:rStyle w:val="s1"/>
          <w:rFonts w:ascii="Times New Roman" w:hAnsi="Times New Roman" w:cs="Times New Roman"/>
          <w:color w:val="000000" w:themeColor="text1"/>
        </w:rPr>
      </w:pPr>
    </w:p>
    <w:p w:rsidR="00CD72DC" w:rsidRPr="00C148E4" w:rsidRDefault="00CD72DC" w:rsidP="00CD72DC">
      <w:pPr>
        <w:pStyle w:val="Heading2"/>
        <w:rPr>
          <w:rFonts w:ascii="Times New Roman" w:hAnsi="Times New Roman" w:cs="Times New Roman"/>
          <w:b/>
          <w:bCs/>
          <w:color w:val="000000" w:themeColor="text1"/>
          <w:sz w:val="28"/>
          <w:szCs w:val="28"/>
        </w:rPr>
      </w:pPr>
      <w:r w:rsidRPr="00C148E4">
        <w:rPr>
          <w:rFonts w:ascii="Times New Roman" w:hAnsi="Times New Roman" w:cs="Times New Roman"/>
          <w:b/>
          <w:bCs/>
          <w:color w:val="000000" w:themeColor="text1"/>
          <w:sz w:val="28"/>
          <w:szCs w:val="28"/>
        </w:rPr>
        <w:t>Implications</w:t>
      </w:r>
    </w:p>
    <w:p w:rsidR="00CD72DC" w:rsidRPr="00CD72DC" w:rsidRDefault="00CD72DC" w:rsidP="00C148E4">
      <w:pPr>
        <w:pStyle w:val="p3"/>
        <w:ind w:firstLine="720"/>
        <w:rPr>
          <w:color w:val="000000" w:themeColor="text1"/>
        </w:rPr>
      </w:pPr>
      <w:r w:rsidRPr="00CD72DC">
        <w:rPr>
          <w:color w:val="000000" w:themeColor="text1"/>
        </w:rPr>
        <w:t>The Indonesian record supports — with measured confidence — the presence of structurally stabilized symbolic practices prior to agriculture and monumentality. Monumental systems may formalize symbolic infrastructures rather than originate them. Conservation and repetition appear at least as diagnostically important as innovation in identifying symbolic stabilization.</w:t>
      </w:r>
    </w:p>
    <w:p w:rsidR="00CD72DC" w:rsidRPr="00C148E4" w:rsidRDefault="00CD72DC" w:rsidP="00CD72DC">
      <w:pPr>
        <w:pStyle w:val="p3"/>
        <w:rPr>
          <w:b/>
          <w:bCs/>
          <w:i/>
          <w:iCs/>
          <w:color w:val="000000" w:themeColor="text1"/>
        </w:rPr>
      </w:pPr>
      <w:r w:rsidRPr="00C148E4">
        <w:rPr>
          <w:b/>
          <w:bCs/>
          <w:i/>
          <w:iCs/>
          <w:color w:val="000000" w:themeColor="text1"/>
        </w:rPr>
        <w:t>Indonesia therefore represents a high-resolution early case of symbolic infrastructure rather than an isolated anomaly, though continued dating and regional survey remain decisive.</w:t>
      </w:r>
    </w:p>
    <w:p w:rsidR="00CD72DC" w:rsidRDefault="00CD72DC"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Default="00C148E4" w:rsidP="00CD72DC">
      <w:pPr>
        <w:rPr>
          <w:rStyle w:val="s1"/>
          <w:rFonts w:ascii="Times New Roman" w:hAnsi="Times New Roman" w:cs="Times New Roman"/>
          <w:color w:val="000000" w:themeColor="text1"/>
        </w:rPr>
      </w:pPr>
    </w:p>
    <w:p w:rsidR="00C148E4" w:rsidRPr="00CD72DC" w:rsidRDefault="00C148E4" w:rsidP="00CD72DC">
      <w:pPr>
        <w:rPr>
          <w:rStyle w:val="s1"/>
          <w:rFonts w:ascii="Times New Roman" w:hAnsi="Times New Roman" w:cs="Times New Roman"/>
          <w:color w:val="000000" w:themeColor="text1"/>
        </w:rPr>
      </w:pPr>
    </w:p>
    <w:p w:rsidR="00CD72DC" w:rsidRPr="00C148E4" w:rsidRDefault="00CD72DC" w:rsidP="00C148E4">
      <w:pPr>
        <w:pStyle w:val="Heading2"/>
        <w:rPr>
          <w:rFonts w:ascii="Times New Roman" w:hAnsi="Times New Roman" w:cs="Times New Roman"/>
          <w:b/>
          <w:bCs/>
          <w:color w:val="000000" w:themeColor="text1"/>
          <w:sz w:val="28"/>
          <w:szCs w:val="28"/>
        </w:rPr>
      </w:pPr>
      <w:r w:rsidRPr="00C148E4">
        <w:rPr>
          <w:rFonts w:ascii="Times New Roman" w:hAnsi="Times New Roman" w:cs="Times New Roman"/>
          <w:b/>
          <w:bCs/>
          <w:color w:val="000000" w:themeColor="text1"/>
          <w:sz w:val="28"/>
          <w:szCs w:val="28"/>
        </w:rPr>
        <w:lastRenderedPageBreak/>
        <w:t>Conclusion</w:t>
      </w:r>
    </w:p>
    <w:p w:rsidR="00CD72DC" w:rsidRPr="00CD72DC" w:rsidRDefault="00CD72DC" w:rsidP="00C148E4">
      <w:pPr>
        <w:pStyle w:val="p3"/>
        <w:ind w:firstLine="720"/>
        <w:rPr>
          <w:color w:val="000000" w:themeColor="text1"/>
        </w:rPr>
      </w:pPr>
      <w:r w:rsidRPr="00CD72DC">
        <w:rPr>
          <w:color w:val="000000" w:themeColor="text1"/>
        </w:rPr>
        <w:t>The ≥67.8 ka Sulawesi cave art functions as a deep-time anchor case demonstrating structural properties consistent with mnemonic anchoring, motif stabilization, and externalized symbolic reference. The ≥51 ka Indonesian cave corpus shows similar structural signals at regional scale, providing a meaningful — though not definitive — DSSM stress test.</w:t>
      </w:r>
    </w:p>
    <w:p w:rsidR="00CD72DC" w:rsidRPr="00CD72DC" w:rsidRDefault="00CD72DC" w:rsidP="00CD72DC">
      <w:pPr>
        <w:pStyle w:val="p3"/>
        <w:rPr>
          <w:color w:val="000000" w:themeColor="text1"/>
        </w:rPr>
      </w:pPr>
      <w:r w:rsidRPr="00CD72DC">
        <w:rPr>
          <w:color w:val="000000" w:themeColor="text1"/>
        </w:rPr>
        <w:t>The most conservative interpretation is that these caves record already-operational symbolic systems rather than experimental beginnings. Further falsification-driven testing across additional cave networks will determine how robust this structural reading ultimately proves.</w:t>
      </w:r>
    </w:p>
    <w:p w:rsidR="00CD72DC" w:rsidRPr="00CD72DC" w:rsidRDefault="00CD72DC" w:rsidP="00CD72DC">
      <w:pPr>
        <w:rPr>
          <w:rStyle w:val="s1"/>
          <w:rFonts w:ascii="Times New Roman" w:hAnsi="Times New Roman" w:cs="Times New Roman"/>
          <w:color w:val="000000" w:themeColor="text1"/>
        </w:rPr>
      </w:pPr>
    </w:p>
    <w:p w:rsidR="00E94CED" w:rsidRPr="00C148E4" w:rsidRDefault="00E94CED" w:rsidP="00E94CED">
      <w:pPr>
        <w:pStyle w:val="p1"/>
        <w:rPr>
          <w:rStyle w:val="s2"/>
          <w:b/>
          <w:bCs/>
          <w:i/>
          <w:iCs/>
          <w:color w:val="000000" w:themeColor="text1"/>
          <w:sz w:val="28"/>
          <w:szCs w:val="28"/>
        </w:rPr>
      </w:pPr>
    </w:p>
    <w:p w:rsidR="00241A26" w:rsidRPr="00C148E4" w:rsidRDefault="00241A26" w:rsidP="00C23FB7">
      <w:pPr>
        <w:pStyle w:val="Heading2"/>
        <w:ind w:left="360"/>
        <w:rPr>
          <w:rFonts w:ascii="Times New Roman" w:hAnsi="Times New Roman" w:cs="Times New Roman"/>
          <w:b/>
          <w:bCs/>
          <w:color w:val="000000" w:themeColor="text1"/>
          <w:sz w:val="28"/>
          <w:szCs w:val="28"/>
        </w:rPr>
      </w:pPr>
      <w:r w:rsidRPr="00C148E4">
        <w:rPr>
          <w:rFonts w:ascii="Times New Roman" w:hAnsi="Times New Roman" w:cs="Times New Roman"/>
          <w:b/>
          <w:bCs/>
          <w:color w:val="000000" w:themeColor="text1"/>
          <w:sz w:val="28"/>
          <w:szCs w:val="28"/>
        </w:rPr>
        <w:t>Core DSSM Framework</w:t>
      </w:r>
    </w:p>
    <w:p w:rsidR="00C23FB7" w:rsidRDefault="00C23FB7" w:rsidP="00C23FB7">
      <w:pPr>
        <w:rPr>
          <w:rFonts w:ascii="NexusSansWebPro" w:hAnsi="NexusSansWebPro"/>
          <w:color w:val="505050"/>
          <w:shd w:val="clear" w:color="auto" w:fill="FFFFFF"/>
        </w:rPr>
      </w:pPr>
    </w:p>
    <w:p w:rsidR="00C23FB7" w:rsidRPr="00C23FB7" w:rsidRDefault="00C23FB7" w:rsidP="00C23FB7">
      <w:r>
        <w:rPr>
          <w:rFonts w:ascii="NexusSansWebPro" w:hAnsi="NexusSansWebPro"/>
          <w:color w:val="505050"/>
          <w:shd w:val="clear" w:color="auto" w:fill="FFFFFF"/>
        </w:rPr>
        <w:t>Anthony Hettige, Pushpika Indunil,</w:t>
      </w:r>
      <w:r>
        <w:rPr>
          <w:rStyle w:val="apple-converted-space"/>
          <w:rFonts w:ascii="NexusSansWebPro" w:hAnsi="NexusSansWebPro"/>
          <w:color w:val="505050"/>
          <w:shd w:val="clear" w:color="auto" w:fill="FFFFFF"/>
        </w:rPr>
        <w:t> </w:t>
      </w:r>
      <w:r>
        <w:rPr>
          <w:rFonts w:ascii="NexusSansWebPro" w:hAnsi="NexusSansWebPro"/>
          <w:b/>
          <w:bCs/>
          <w:color w:val="505050"/>
        </w:rPr>
        <w:t>The Deep Symbolic Systems Model (DSSM)</w:t>
      </w:r>
    </w:p>
    <w:p w:rsidR="00C23FB7" w:rsidRDefault="00C23FB7" w:rsidP="00C23FB7">
      <w:pPr>
        <w:pStyle w:val="NormalWeb"/>
        <w:spacing w:before="0" w:beforeAutospacing="0" w:after="150" w:afterAutospacing="0" w:line="330" w:lineRule="atLeast"/>
        <w:rPr>
          <w:rFonts w:ascii="NexusSansWebPro" w:hAnsi="NexusSansWebPro"/>
          <w:color w:val="505050"/>
        </w:rPr>
      </w:pPr>
      <w:r>
        <w:rPr>
          <w:rFonts w:ascii="NexusSansWebPro" w:hAnsi="NexusSansWebPro"/>
          <w:i/>
          <w:iCs/>
          <w:color w:val="505050"/>
        </w:rPr>
        <w:t>A Cognitive–Ritual Framework for Early Monumentality and Cultural Continuity</w:t>
      </w:r>
    </w:p>
    <w:p w:rsidR="00C23FB7" w:rsidRDefault="00C23FB7" w:rsidP="00C23FB7">
      <w:pPr>
        <w:pStyle w:val="p1"/>
      </w:pPr>
      <w:r>
        <w:rPr>
          <w:rFonts w:ascii="NexusSansWebPro" w:hAnsi="NexusSansWebPro"/>
          <w:color w:val="505050"/>
          <w:shd w:val="clear" w:color="auto" w:fill="FFFFFF"/>
        </w:rPr>
        <w:t>(December 30, 2025). Available at SSRN:</w:t>
      </w:r>
      <w:r>
        <w:rPr>
          <w:rStyle w:val="apple-converted-space"/>
          <w:rFonts w:ascii="NexusSansWebPro" w:hAnsi="NexusSansWebPro"/>
          <w:color w:val="505050"/>
          <w:shd w:val="clear" w:color="auto" w:fill="FFFFFF"/>
        </w:rPr>
        <w:t> </w:t>
      </w:r>
      <w:hyperlink r:id="rId7" w:tgtFrame="_blank" w:history="1">
        <w:r>
          <w:rPr>
            <w:rStyle w:val="Hyperlink"/>
            <w:rFonts w:ascii="NexusSansWebPro" w:hAnsi="NexusSansWebPro"/>
            <w:color w:val="505050"/>
          </w:rPr>
          <w:t>https://ssrn.com/abstract=6003734</w:t>
        </w:r>
      </w:hyperlink>
      <w:r>
        <w:rPr>
          <w:rStyle w:val="apple-converted-space"/>
          <w:rFonts w:ascii="NexusSansWebPro" w:hAnsi="NexusSansWebPro"/>
          <w:color w:val="505050"/>
          <w:shd w:val="clear" w:color="auto" w:fill="FFFFFF"/>
        </w:rPr>
        <w:t> </w:t>
      </w:r>
      <w:r>
        <w:rPr>
          <w:rFonts w:ascii="NexusSansWebPro" w:hAnsi="NexusSansWebPro"/>
          <w:color w:val="505050"/>
          <w:shd w:val="clear" w:color="auto" w:fill="FFFFFF"/>
        </w:rPr>
        <w:t>or</w:t>
      </w:r>
      <w:r>
        <w:rPr>
          <w:rStyle w:val="apple-converted-space"/>
          <w:rFonts w:ascii="NexusSansWebPro" w:hAnsi="NexusSansWebPro"/>
          <w:color w:val="505050"/>
          <w:shd w:val="clear" w:color="auto" w:fill="FFFFFF"/>
        </w:rPr>
        <w:t> </w:t>
      </w:r>
      <w:hyperlink r:id="rId8" w:tgtFrame="_blank" w:history="1">
        <w:r>
          <w:rPr>
            <w:rStyle w:val="Hyperlink"/>
            <w:rFonts w:ascii="NexusSansWebPro" w:hAnsi="NexusSansWebPro"/>
            <w:color w:val="505050"/>
          </w:rPr>
          <w:t>http://dx.doi.org/10.2139/ssrn.6003734</w:t>
        </w:r>
      </w:hyperlink>
    </w:p>
    <w:p w:rsidR="00241A26" w:rsidRPr="00CD72DC" w:rsidRDefault="00241A26" w:rsidP="00C23FB7">
      <w:pPr>
        <w:pStyle w:val="p1"/>
        <w:rPr>
          <w:color w:val="000000" w:themeColor="text1"/>
        </w:rPr>
      </w:pPr>
      <w:r w:rsidRPr="00C148E4">
        <w:rPr>
          <w:b/>
          <w:bCs/>
          <w:color w:val="000000" w:themeColor="text1"/>
        </w:rPr>
        <w:t>Vondoom, A.</w:t>
      </w:r>
      <w:r w:rsidRPr="00CD72DC">
        <w:rPr>
          <w:color w:val="000000" w:themeColor="text1"/>
        </w:rPr>
        <w:t xml:space="preserve"> (2026). </w:t>
      </w:r>
      <w:r w:rsidRPr="00CD72DC">
        <w:rPr>
          <w:i/>
          <w:iCs/>
          <w:color w:val="000000" w:themeColor="text1"/>
        </w:rPr>
        <w:t>Deep Symbolic Stabilization Across Early Civilizations: A Global DSSM Synthesis</w:t>
      </w:r>
      <w:r w:rsidRPr="00CD72DC">
        <w:rPr>
          <w:color w:val="000000" w:themeColor="text1"/>
        </w:rPr>
        <w:t xml:space="preserve">. figshare. </w:t>
      </w:r>
      <w:hyperlink r:id="rId9" w:history="1">
        <w:r w:rsidRPr="00C148E4">
          <w:rPr>
            <w:rStyle w:val="Hyperlink"/>
          </w:rPr>
          <w:t>https://doi.org/10.6</w:t>
        </w:r>
        <w:r w:rsidRPr="00C148E4">
          <w:rPr>
            <w:rStyle w:val="Hyperlink"/>
          </w:rPr>
          <w:t>0</w:t>
        </w:r>
        <w:r w:rsidRPr="00C148E4">
          <w:rPr>
            <w:rStyle w:val="Hyperlink"/>
          </w:rPr>
          <w:t>84/m9.figshare.31061758.v2</w:t>
        </w:r>
      </w:hyperlink>
    </w:p>
    <w:p w:rsidR="00241A26" w:rsidRPr="00CD72DC" w:rsidRDefault="00241A26" w:rsidP="00C23FB7">
      <w:pPr>
        <w:pStyle w:val="p1"/>
        <w:rPr>
          <w:color w:val="000000" w:themeColor="text1"/>
        </w:rPr>
      </w:pPr>
      <w:r w:rsidRPr="00C148E4">
        <w:rPr>
          <w:b/>
          <w:bCs/>
          <w:color w:val="000000" w:themeColor="text1"/>
        </w:rPr>
        <w:t>Vondoom, A.</w:t>
      </w:r>
      <w:r w:rsidRPr="00CD72DC">
        <w:rPr>
          <w:color w:val="000000" w:themeColor="text1"/>
        </w:rPr>
        <w:t xml:space="preserve"> (2026). </w:t>
      </w:r>
      <w:r w:rsidRPr="00CD72DC">
        <w:rPr>
          <w:i/>
          <w:iCs/>
          <w:color w:val="000000" w:themeColor="text1"/>
        </w:rPr>
        <w:t>The Deep Symbolic Systems Model (DSSM): A Canonical Framework for Early Symbolic Stabilization Across Macro-Regions</w:t>
      </w:r>
      <w:r w:rsidRPr="00CD72DC">
        <w:rPr>
          <w:color w:val="000000" w:themeColor="text1"/>
        </w:rPr>
        <w:t xml:space="preserve">. figshare. </w:t>
      </w:r>
      <w:hyperlink r:id="rId10" w:history="1">
        <w:r w:rsidRPr="00C148E4">
          <w:rPr>
            <w:rStyle w:val="Hyperlink"/>
          </w:rPr>
          <w:t>https://doi.org/10.6084/m</w:t>
        </w:r>
        <w:r w:rsidRPr="00C148E4">
          <w:rPr>
            <w:rStyle w:val="Hyperlink"/>
          </w:rPr>
          <w:t>9</w:t>
        </w:r>
        <w:r w:rsidRPr="00C148E4">
          <w:rPr>
            <w:rStyle w:val="Hyperlink"/>
          </w:rPr>
          <w:t>.figshare.31061698.v3</w:t>
        </w:r>
      </w:hyperlink>
    </w:p>
    <w:p w:rsidR="00241A26" w:rsidRPr="00CD72DC" w:rsidRDefault="00241A26" w:rsidP="00C23FB7">
      <w:pPr>
        <w:pStyle w:val="p1"/>
        <w:rPr>
          <w:color w:val="000000" w:themeColor="text1"/>
        </w:rPr>
      </w:pPr>
      <w:r w:rsidRPr="00C148E4">
        <w:rPr>
          <w:b/>
          <w:bCs/>
          <w:color w:val="000000" w:themeColor="text1"/>
        </w:rPr>
        <w:t>Vondoom, A.</w:t>
      </w:r>
      <w:r w:rsidRPr="00CD72DC">
        <w:rPr>
          <w:color w:val="000000" w:themeColor="text1"/>
        </w:rPr>
        <w:t xml:space="preserve"> (2026). </w:t>
      </w:r>
      <w:r w:rsidRPr="00CD72DC">
        <w:rPr>
          <w:i/>
          <w:iCs/>
          <w:color w:val="000000" w:themeColor="text1"/>
        </w:rPr>
        <w:t>Cognitive Preconditions for the Deep Symbolic Systems Model (DSSM)</w:t>
      </w:r>
      <w:r w:rsidRPr="00CD72DC">
        <w:rPr>
          <w:color w:val="000000" w:themeColor="text1"/>
        </w:rPr>
        <w:t xml:space="preserve">. </w:t>
      </w:r>
      <w:hyperlink r:id="rId11" w:history="1">
        <w:r w:rsidRPr="00C148E4">
          <w:rPr>
            <w:rStyle w:val="Hyperlink"/>
          </w:rPr>
          <w:t>https://doi.org/10.17605/</w:t>
        </w:r>
        <w:r w:rsidRPr="00C148E4">
          <w:rPr>
            <w:rStyle w:val="Hyperlink"/>
          </w:rPr>
          <w:t>O</w:t>
        </w:r>
        <w:r w:rsidRPr="00C148E4">
          <w:rPr>
            <w:rStyle w:val="Hyperlink"/>
          </w:rPr>
          <w:t>SF.IO/25AJW</w:t>
        </w:r>
      </w:hyperlink>
    </w:p>
    <w:p w:rsidR="00241A26" w:rsidRPr="00CD72DC" w:rsidRDefault="00241A26" w:rsidP="00C23FB7">
      <w:pPr>
        <w:pStyle w:val="p1"/>
        <w:rPr>
          <w:color w:val="000000" w:themeColor="text1"/>
        </w:rPr>
      </w:pPr>
      <w:r w:rsidRPr="00C148E4">
        <w:rPr>
          <w:b/>
          <w:bCs/>
          <w:color w:val="000000" w:themeColor="text1"/>
        </w:rPr>
        <w:t>Vondoom, A.</w:t>
      </w:r>
      <w:r w:rsidRPr="00CD72DC">
        <w:rPr>
          <w:color w:val="000000" w:themeColor="text1"/>
        </w:rPr>
        <w:t xml:space="preserve"> (2026). </w:t>
      </w:r>
      <w:r w:rsidRPr="00CD72DC">
        <w:rPr>
          <w:i/>
          <w:iCs/>
          <w:color w:val="000000" w:themeColor="text1"/>
        </w:rPr>
        <w:t>Deep Symbolic Systems Model: Field Companion</w:t>
      </w:r>
      <w:r w:rsidRPr="00CD72DC">
        <w:rPr>
          <w:color w:val="000000" w:themeColor="text1"/>
        </w:rPr>
        <w:t xml:space="preserve">. figshare. </w:t>
      </w:r>
      <w:hyperlink r:id="rId12" w:history="1">
        <w:r w:rsidRPr="00C148E4">
          <w:rPr>
            <w:rStyle w:val="Hyperlink"/>
          </w:rPr>
          <w:t>https://doi.org/10.6084/m9.figshare.31113958.v1</w:t>
        </w:r>
      </w:hyperlink>
    </w:p>
    <w:p w:rsidR="00241A26" w:rsidRPr="00CD72DC" w:rsidRDefault="00241A26" w:rsidP="00241A26">
      <w:pPr>
        <w:rPr>
          <w:rStyle w:val="s2"/>
          <w:rFonts w:ascii="Times New Roman" w:hAnsi="Times New Roman" w:cs="Times New Roman"/>
          <w:color w:val="000000" w:themeColor="text1"/>
        </w:rPr>
      </w:pPr>
    </w:p>
    <w:p w:rsidR="00F93B05" w:rsidRPr="00CD72DC" w:rsidRDefault="00241A26" w:rsidP="00241A26">
      <w:pPr>
        <w:pStyle w:val="Heading3"/>
        <w:rPr>
          <w:color w:val="000000" w:themeColor="text1"/>
        </w:rPr>
      </w:pPr>
      <w:r w:rsidRPr="00CD72DC">
        <w:rPr>
          <w:color w:val="000000" w:themeColor="text1"/>
        </w:rPr>
        <w:t>References</w:t>
      </w:r>
    </w:p>
    <w:p w:rsidR="00CD72DC" w:rsidRPr="00CD72DC" w:rsidRDefault="00CD72DC" w:rsidP="00241A26">
      <w:pPr>
        <w:pStyle w:val="Heading3"/>
        <w:rPr>
          <w:color w:val="000000" w:themeColor="text1"/>
        </w:rPr>
      </w:pPr>
    </w:p>
    <w:p w:rsidR="00CD72DC" w:rsidRPr="00CD72DC" w:rsidRDefault="00CD72DC" w:rsidP="001F427B">
      <w:pPr>
        <w:pStyle w:val="p4"/>
        <w:numPr>
          <w:ilvl w:val="0"/>
          <w:numId w:val="27"/>
        </w:numPr>
        <w:rPr>
          <w:color w:val="000000" w:themeColor="text1"/>
        </w:rPr>
      </w:pPr>
      <w:r w:rsidRPr="00CD72DC">
        <w:rPr>
          <w:b/>
          <w:bCs/>
          <w:color w:val="000000" w:themeColor="text1"/>
        </w:rPr>
        <w:t>Oktaviana, A.A., Joannes-Boyau, R., Hakim, B., et al</w:t>
      </w:r>
      <w:r w:rsidRPr="00CD72DC">
        <w:rPr>
          <w:color w:val="000000" w:themeColor="text1"/>
        </w:rPr>
        <w:t xml:space="preserve">. (2026). </w:t>
      </w:r>
      <w:r w:rsidRPr="00CD72DC">
        <w:rPr>
          <w:rStyle w:val="s3"/>
          <w:i/>
          <w:iCs/>
          <w:color w:val="000000" w:themeColor="text1"/>
        </w:rPr>
        <w:t>Rock art from at least 67,800 years ago in Sulawesi</w:t>
      </w:r>
      <w:r w:rsidRPr="00CD72DC">
        <w:rPr>
          <w:rStyle w:val="s3"/>
          <w:b/>
          <w:bCs/>
          <w:color w:val="000000" w:themeColor="text1"/>
        </w:rPr>
        <w:t>.</w:t>
      </w:r>
      <w:r w:rsidRPr="00CD72DC">
        <w:rPr>
          <w:color w:val="000000" w:themeColor="text1"/>
        </w:rPr>
        <w:t xml:space="preserve"> </w:t>
      </w:r>
      <w:r w:rsidRPr="00CD72DC">
        <w:rPr>
          <w:i/>
          <w:iCs/>
          <w:color w:val="000000" w:themeColor="text1"/>
        </w:rPr>
        <w:t>Nature.</w:t>
      </w:r>
      <w:r w:rsidRPr="00CD72DC">
        <w:rPr>
          <w:color w:val="000000" w:themeColor="text1"/>
        </w:rPr>
        <w:t xml:space="preserve"> </w:t>
      </w:r>
      <w:hyperlink r:id="rId13" w:history="1">
        <w:r w:rsidRPr="002E6E81">
          <w:rPr>
            <w:rStyle w:val="Hyperlink"/>
          </w:rPr>
          <w:t>https://doi.org/10.1038/s41586-025-09968-y</w:t>
        </w:r>
      </w:hyperlink>
    </w:p>
    <w:p w:rsidR="00F93B05" w:rsidRPr="00CD72DC" w:rsidRDefault="00F93B05" w:rsidP="001F427B">
      <w:pPr>
        <w:pStyle w:val="p1"/>
        <w:numPr>
          <w:ilvl w:val="0"/>
          <w:numId w:val="27"/>
        </w:numPr>
        <w:rPr>
          <w:color w:val="000000" w:themeColor="text1"/>
        </w:rPr>
      </w:pPr>
      <w:r w:rsidRPr="00CD72DC">
        <w:rPr>
          <w:b/>
          <w:bCs/>
          <w:color w:val="000000" w:themeColor="text1"/>
        </w:rPr>
        <w:t>Aubert, M., Joannes-Boyau, R., Hakim, B., Oktaviana, A. A., et al.</w:t>
      </w:r>
      <w:r w:rsidRPr="00CD72DC">
        <w:rPr>
          <w:rStyle w:val="s1"/>
          <w:color w:val="000000" w:themeColor="text1"/>
        </w:rPr>
        <w:t xml:space="preserve"> (2024). </w:t>
      </w:r>
      <w:r w:rsidRPr="00CD72DC">
        <w:rPr>
          <w:rStyle w:val="s1"/>
          <w:i/>
          <w:iCs/>
          <w:color w:val="000000" w:themeColor="text1"/>
        </w:rPr>
        <w:t>Narrative cave art in Indonesia by 51,200 years ago</w:t>
      </w:r>
      <w:r w:rsidRPr="00CD72DC">
        <w:rPr>
          <w:rStyle w:val="s1"/>
          <w:color w:val="000000" w:themeColor="text1"/>
        </w:rPr>
        <w:t xml:space="preserve">. </w:t>
      </w:r>
      <w:r w:rsidRPr="00CD72DC">
        <w:rPr>
          <w:i/>
          <w:iCs/>
          <w:color w:val="000000" w:themeColor="text1"/>
        </w:rPr>
        <w:t>Nature</w:t>
      </w:r>
      <w:r w:rsidRPr="00CD72DC">
        <w:rPr>
          <w:b/>
          <w:bCs/>
          <w:color w:val="000000" w:themeColor="text1"/>
        </w:rPr>
        <w:t>, 631</w:t>
      </w:r>
      <w:r w:rsidRPr="00CD72DC">
        <w:rPr>
          <w:rStyle w:val="s1"/>
          <w:color w:val="000000" w:themeColor="text1"/>
        </w:rPr>
        <w:t xml:space="preserve">, 814–818. </w:t>
      </w:r>
      <w:hyperlink r:id="rId14" w:history="1">
        <w:r w:rsidRPr="002E6E81">
          <w:rPr>
            <w:rStyle w:val="Hyperlink"/>
          </w:rPr>
          <w:t>https://doi.org/10.1038/s41586-024-07541-7 </w:t>
        </w:r>
      </w:hyperlink>
      <w:r w:rsidRPr="00CD72DC">
        <w:rPr>
          <w:rStyle w:val="apple-converted-space"/>
          <w:color w:val="000000" w:themeColor="text1"/>
        </w:rPr>
        <w:t xml:space="preserve"> </w:t>
      </w:r>
    </w:p>
    <w:p w:rsidR="00F93B05" w:rsidRPr="00CD72DC" w:rsidRDefault="00F93B05" w:rsidP="001F427B">
      <w:pPr>
        <w:pStyle w:val="p1"/>
        <w:numPr>
          <w:ilvl w:val="0"/>
          <w:numId w:val="27"/>
        </w:numPr>
        <w:rPr>
          <w:color w:val="000000" w:themeColor="text1"/>
        </w:rPr>
      </w:pPr>
      <w:r w:rsidRPr="00CD72DC">
        <w:rPr>
          <w:b/>
          <w:bCs/>
          <w:color w:val="000000" w:themeColor="text1"/>
        </w:rPr>
        <w:t>Brumm, A., Oktaviana, A. A., Burhan, B., Hakim, B., et al.</w:t>
      </w:r>
      <w:r w:rsidRPr="00CD72DC">
        <w:rPr>
          <w:rStyle w:val="s1"/>
          <w:color w:val="000000" w:themeColor="text1"/>
        </w:rPr>
        <w:t xml:space="preserve"> (2021). </w:t>
      </w:r>
      <w:r w:rsidRPr="00CD72DC">
        <w:rPr>
          <w:rStyle w:val="s1"/>
          <w:i/>
          <w:iCs/>
          <w:color w:val="000000" w:themeColor="text1"/>
        </w:rPr>
        <w:t>Oldest cave art found in Sulawesi</w:t>
      </w:r>
      <w:r w:rsidRPr="00CD72DC">
        <w:rPr>
          <w:rStyle w:val="s1"/>
          <w:color w:val="000000" w:themeColor="text1"/>
        </w:rPr>
        <w:t xml:space="preserve">. </w:t>
      </w:r>
      <w:r w:rsidRPr="00CD72DC">
        <w:rPr>
          <w:b/>
          <w:bCs/>
          <w:color w:val="000000" w:themeColor="text1"/>
        </w:rPr>
        <w:t>Science Advances, 7</w:t>
      </w:r>
      <w:r w:rsidRPr="00CD72DC">
        <w:rPr>
          <w:rStyle w:val="s1"/>
          <w:color w:val="000000" w:themeColor="text1"/>
        </w:rPr>
        <w:t>(3), eabd4648</w:t>
      </w:r>
      <w:hyperlink r:id="rId15" w:history="1">
        <w:r w:rsidRPr="002E6E81">
          <w:rPr>
            <w:rStyle w:val="Hyperlink"/>
          </w:rPr>
          <w:t>. https://doi.org/10.1126/sciadv.abd4648 </w:t>
        </w:r>
      </w:hyperlink>
      <w:r w:rsidRPr="00CD72DC">
        <w:rPr>
          <w:rStyle w:val="apple-converted-space"/>
          <w:color w:val="000000" w:themeColor="text1"/>
        </w:rPr>
        <w:t xml:space="preserve"> </w:t>
      </w:r>
    </w:p>
    <w:p w:rsidR="00CD72DC" w:rsidRPr="00CD72DC" w:rsidRDefault="00F93B05" w:rsidP="001F427B">
      <w:pPr>
        <w:pStyle w:val="p1"/>
        <w:numPr>
          <w:ilvl w:val="0"/>
          <w:numId w:val="27"/>
        </w:numPr>
        <w:rPr>
          <w:i/>
          <w:iCs/>
          <w:color w:val="000000" w:themeColor="text1"/>
        </w:rPr>
      </w:pPr>
      <w:r w:rsidRPr="00CD72DC">
        <w:rPr>
          <w:rStyle w:val="s1"/>
          <w:b/>
          <w:bCs/>
          <w:color w:val="000000" w:themeColor="text1"/>
        </w:rPr>
        <w:t>Brumm, A., et al.</w:t>
      </w:r>
      <w:r w:rsidRPr="00CD72DC">
        <w:rPr>
          <w:color w:val="000000" w:themeColor="text1"/>
        </w:rPr>
        <w:t xml:space="preserve"> (2024). </w:t>
      </w:r>
      <w:r w:rsidRPr="00CD72DC">
        <w:rPr>
          <w:i/>
          <w:iCs/>
          <w:color w:val="000000" w:themeColor="text1"/>
        </w:rPr>
        <w:t>Symbolic behavior in Island Southeast Asia</w:t>
      </w:r>
      <w:r w:rsidRPr="00CD72DC">
        <w:rPr>
          <w:color w:val="000000" w:themeColor="text1"/>
        </w:rPr>
        <w:t xml:space="preserve">. </w:t>
      </w:r>
      <w:r w:rsidRPr="00CD72DC">
        <w:rPr>
          <w:rStyle w:val="s1"/>
          <w:b/>
          <w:bCs/>
          <w:color w:val="000000" w:themeColor="text1"/>
        </w:rPr>
        <w:t>Journal of Human Evolution</w:t>
      </w:r>
      <w:r w:rsidRPr="00CD72DC">
        <w:rPr>
          <w:color w:val="000000" w:themeColor="text1"/>
        </w:rPr>
        <w:t xml:space="preserve">. </w:t>
      </w:r>
    </w:p>
    <w:p w:rsidR="00F93B05" w:rsidRPr="00CD72DC" w:rsidRDefault="00F93B05" w:rsidP="001F427B">
      <w:pPr>
        <w:pStyle w:val="p1"/>
        <w:numPr>
          <w:ilvl w:val="0"/>
          <w:numId w:val="27"/>
        </w:numPr>
        <w:rPr>
          <w:color w:val="000000" w:themeColor="text1"/>
        </w:rPr>
      </w:pPr>
      <w:r w:rsidRPr="00CD72DC">
        <w:rPr>
          <w:rStyle w:val="s1"/>
          <w:b/>
          <w:bCs/>
          <w:color w:val="000000" w:themeColor="text1"/>
        </w:rPr>
        <w:t>Pike, A. W. G., Hoffmann, D. L., Pettitt, P. B., García-Diez, M., &amp; Zilhão, J.</w:t>
      </w:r>
      <w:r w:rsidRPr="00CD72DC">
        <w:rPr>
          <w:color w:val="000000" w:themeColor="text1"/>
        </w:rPr>
        <w:t xml:space="preserve"> (2012). </w:t>
      </w:r>
      <w:r w:rsidRPr="00CD72DC">
        <w:rPr>
          <w:i/>
          <w:iCs/>
          <w:color w:val="000000" w:themeColor="text1"/>
        </w:rPr>
        <w:t>U-series dating of Paleolithic art in 11 caves in Spain</w:t>
      </w:r>
      <w:r w:rsidRPr="00CD72DC">
        <w:rPr>
          <w:color w:val="000000" w:themeColor="text1"/>
        </w:rPr>
        <w:t xml:space="preserve">. </w:t>
      </w:r>
      <w:r w:rsidRPr="00CD72DC">
        <w:rPr>
          <w:rStyle w:val="s1"/>
          <w:b/>
          <w:bCs/>
          <w:color w:val="000000" w:themeColor="text1"/>
        </w:rPr>
        <w:t>Science, 336</w:t>
      </w:r>
      <w:r w:rsidRPr="00CD72DC">
        <w:rPr>
          <w:color w:val="000000" w:themeColor="text1"/>
        </w:rPr>
        <w:t xml:space="preserve">(6087), 1409–1413. </w:t>
      </w:r>
      <w:hyperlink r:id="rId16" w:history="1">
        <w:r w:rsidRPr="002E6E81">
          <w:rPr>
            <w:rStyle w:val="Hyperlink"/>
          </w:rPr>
          <w:t>https://doi.org/10.1126/science.1219989</w:t>
        </w:r>
      </w:hyperlink>
      <w:r w:rsidRPr="00CD72DC">
        <w:rPr>
          <w:color w:val="000000" w:themeColor="text1"/>
        </w:rPr>
        <w:t xml:space="preserve"> (</w:t>
      </w:r>
      <w:r w:rsidRPr="00CD72DC">
        <w:rPr>
          <w:i/>
          <w:iCs/>
          <w:color w:val="000000" w:themeColor="text1"/>
        </w:rPr>
        <w:t>U-Series constraints foundational reference</w:t>
      </w:r>
      <w:r w:rsidRPr="00CD72DC">
        <w:rPr>
          <w:color w:val="000000" w:themeColor="text1"/>
        </w:rPr>
        <w:t>)</w:t>
      </w:r>
      <w:r w:rsidRPr="00CD72DC">
        <w:rPr>
          <w:rStyle w:val="apple-converted-space"/>
          <w:color w:val="000000" w:themeColor="text1"/>
        </w:rPr>
        <w:t xml:space="preserve">  </w:t>
      </w:r>
    </w:p>
    <w:p w:rsidR="00CD72DC" w:rsidRPr="00CD72DC" w:rsidRDefault="00F93B05" w:rsidP="001F427B">
      <w:pPr>
        <w:pStyle w:val="p1"/>
        <w:numPr>
          <w:ilvl w:val="0"/>
          <w:numId w:val="27"/>
        </w:numPr>
        <w:rPr>
          <w:i/>
          <w:iCs/>
          <w:color w:val="000000" w:themeColor="text1"/>
        </w:rPr>
      </w:pPr>
      <w:r w:rsidRPr="00CD72DC">
        <w:rPr>
          <w:rStyle w:val="s1"/>
          <w:b/>
          <w:bCs/>
          <w:color w:val="000000" w:themeColor="text1"/>
        </w:rPr>
        <w:lastRenderedPageBreak/>
        <w:t>Langley, M. C., Clarkson, C., Ulm, S., et al.</w:t>
      </w:r>
      <w:r w:rsidRPr="00CD72DC">
        <w:rPr>
          <w:color w:val="000000" w:themeColor="text1"/>
        </w:rPr>
        <w:t xml:space="preserve"> (2020). </w:t>
      </w:r>
      <w:r w:rsidRPr="00CD72DC">
        <w:rPr>
          <w:i/>
          <w:iCs/>
          <w:color w:val="000000" w:themeColor="text1"/>
        </w:rPr>
        <w:t>Early symbolic material culture</w:t>
      </w:r>
      <w:r w:rsidRPr="00CD72DC">
        <w:rPr>
          <w:color w:val="000000" w:themeColor="text1"/>
        </w:rPr>
        <w:t xml:space="preserve">. </w:t>
      </w:r>
      <w:r w:rsidRPr="00CD72DC">
        <w:rPr>
          <w:rStyle w:val="s1"/>
          <w:b/>
          <w:bCs/>
          <w:color w:val="000000" w:themeColor="text1"/>
        </w:rPr>
        <w:t>Current Anthropology, 61</w:t>
      </w:r>
      <w:r w:rsidRPr="00CD72DC">
        <w:rPr>
          <w:color w:val="000000" w:themeColor="text1"/>
        </w:rPr>
        <w:t xml:space="preserve">(Suppl. 22). ISSN: 0011-3204. </w:t>
      </w:r>
    </w:p>
    <w:p w:rsidR="00CD72DC" w:rsidRPr="00CD72DC" w:rsidRDefault="00F93B05" w:rsidP="001F427B">
      <w:pPr>
        <w:pStyle w:val="p1"/>
        <w:numPr>
          <w:ilvl w:val="0"/>
          <w:numId w:val="27"/>
        </w:numPr>
        <w:rPr>
          <w:color w:val="000000" w:themeColor="text1"/>
        </w:rPr>
      </w:pPr>
      <w:r w:rsidRPr="00CD72DC">
        <w:rPr>
          <w:rStyle w:val="s1"/>
          <w:b/>
          <w:bCs/>
          <w:color w:val="000000" w:themeColor="text1"/>
        </w:rPr>
        <w:t>Henshilwood, C. S., &amp; Dubreuil, B.</w:t>
      </w:r>
      <w:r w:rsidRPr="00CD72DC">
        <w:rPr>
          <w:color w:val="000000" w:themeColor="text1"/>
        </w:rPr>
        <w:t xml:space="preserve"> (2022). </w:t>
      </w:r>
      <w:r w:rsidRPr="00CD72DC">
        <w:rPr>
          <w:i/>
          <w:iCs/>
          <w:color w:val="000000" w:themeColor="text1"/>
        </w:rPr>
        <w:t>Materiality and symbolic cognition</w:t>
      </w:r>
      <w:r w:rsidRPr="00CD72DC">
        <w:rPr>
          <w:color w:val="000000" w:themeColor="text1"/>
        </w:rPr>
        <w:t xml:space="preserve">. </w:t>
      </w:r>
      <w:r w:rsidRPr="00CD72DC">
        <w:rPr>
          <w:rStyle w:val="s1"/>
          <w:b/>
          <w:bCs/>
          <w:color w:val="000000" w:themeColor="text1"/>
        </w:rPr>
        <w:t>Journal of Archaeological Science, 140</w:t>
      </w:r>
      <w:r w:rsidRPr="00CD72DC">
        <w:rPr>
          <w:color w:val="000000" w:themeColor="text1"/>
        </w:rPr>
        <w:t xml:space="preserve">, 105578. </w:t>
      </w:r>
      <w:hyperlink r:id="rId17" w:history="1">
        <w:r w:rsidRPr="002E6E81">
          <w:rPr>
            <w:rStyle w:val="Hyperlink"/>
          </w:rPr>
          <w:t>https://doi.org/10.1016/j.jas.2022.105578</w:t>
        </w:r>
      </w:hyperlink>
      <w:r w:rsidRPr="00CD72DC">
        <w:rPr>
          <w:color w:val="000000" w:themeColor="text1"/>
        </w:rPr>
        <w:t xml:space="preserve"> </w:t>
      </w:r>
    </w:p>
    <w:p w:rsidR="00F93B05" w:rsidRPr="00CD72DC" w:rsidRDefault="00F93B05" w:rsidP="001F427B">
      <w:pPr>
        <w:pStyle w:val="p1"/>
        <w:numPr>
          <w:ilvl w:val="0"/>
          <w:numId w:val="27"/>
        </w:numPr>
        <w:rPr>
          <w:color w:val="000000" w:themeColor="text1"/>
        </w:rPr>
      </w:pPr>
      <w:r w:rsidRPr="00CD72DC">
        <w:rPr>
          <w:rStyle w:val="s1"/>
          <w:b/>
          <w:bCs/>
          <w:color w:val="000000" w:themeColor="text1"/>
        </w:rPr>
        <w:t>Pearce, E., et al.</w:t>
      </w:r>
      <w:r w:rsidRPr="00CD72DC">
        <w:rPr>
          <w:color w:val="000000" w:themeColor="text1"/>
        </w:rPr>
        <w:t xml:space="preserve"> (2020). </w:t>
      </w:r>
      <w:r w:rsidRPr="00CD72DC">
        <w:rPr>
          <w:i/>
          <w:iCs/>
          <w:color w:val="000000" w:themeColor="text1"/>
        </w:rPr>
        <w:t>Error tolerance in craft traditions</w:t>
      </w:r>
      <w:r w:rsidRPr="00CD72DC">
        <w:rPr>
          <w:color w:val="000000" w:themeColor="text1"/>
        </w:rPr>
        <w:t xml:space="preserve">. </w:t>
      </w:r>
      <w:r w:rsidRPr="00CD72DC">
        <w:rPr>
          <w:rStyle w:val="s1"/>
          <w:b/>
          <w:bCs/>
          <w:color w:val="000000" w:themeColor="text1"/>
        </w:rPr>
        <w:t>Antiquity, 94</w:t>
      </w:r>
      <w:r w:rsidRPr="00CD72DC">
        <w:rPr>
          <w:color w:val="000000" w:themeColor="text1"/>
        </w:rPr>
        <w:t xml:space="preserve">(376), 1282–1299. </w:t>
      </w:r>
      <w:hyperlink r:id="rId18" w:history="1">
        <w:r w:rsidRPr="002E6E81">
          <w:rPr>
            <w:rStyle w:val="Hyperlink"/>
          </w:rPr>
          <w:t>https://doi.org/10.15184/aqy.2020.69</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Hodder, I.</w:t>
      </w:r>
      <w:r w:rsidRPr="00CD72DC">
        <w:rPr>
          <w:color w:val="000000" w:themeColor="text1"/>
        </w:rPr>
        <w:t xml:space="preserve"> (2020). </w:t>
      </w:r>
      <w:r w:rsidRPr="00CD72DC">
        <w:rPr>
          <w:i/>
          <w:iCs/>
          <w:color w:val="000000" w:themeColor="text1"/>
        </w:rPr>
        <w:t>Entanglement and symbolic persistence</w:t>
      </w:r>
      <w:r w:rsidRPr="00CD72DC">
        <w:rPr>
          <w:color w:val="000000" w:themeColor="text1"/>
        </w:rPr>
        <w:t>. Cambridge University Press. ISBN-13: 978-1108496579.</w:t>
      </w:r>
    </w:p>
    <w:p w:rsidR="00F93B05" w:rsidRPr="00CD72DC" w:rsidRDefault="00F93B05" w:rsidP="001F427B">
      <w:pPr>
        <w:pStyle w:val="p1"/>
        <w:numPr>
          <w:ilvl w:val="0"/>
          <w:numId w:val="27"/>
        </w:numPr>
        <w:rPr>
          <w:color w:val="000000" w:themeColor="text1"/>
        </w:rPr>
      </w:pPr>
      <w:r w:rsidRPr="00CD72DC">
        <w:rPr>
          <w:rStyle w:val="s1"/>
          <w:b/>
          <w:bCs/>
          <w:color w:val="000000" w:themeColor="text1"/>
        </w:rPr>
        <w:t>Assmann, J.</w:t>
      </w:r>
      <w:r w:rsidRPr="00CD72DC">
        <w:rPr>
          <w:color w:val="000000" w:themeColor="text1"/>
        </w:rPr>
        <w:t xml:space="preserve"> (2020). </w:t>
      </w:r>
      <w:r w:rsidRPr="00CD72DC">
        <w:rPr>
          <w:i/>
          <w:iCs/>
          <w:color w:val="000000" w:themeColor="text1"/>
        </w:rPr>
        <w:t>Cultural memory revisited</w:t>
      </w:r>
      <w:r w:rsidRPr="00CD72DC">
        <w:rPr>
          <w:color w:val="000000" w:themeColor="text1"/>
        </w:rPr>
        <w:t xml:space="preserve">. </w:t>
      </w:r>
      <w:r w:rsidRPr="00CD72DC">
        <w:rPr>
          <w:rStyle w:val="s1"/>
          <w:b/>
          <w:bCs/>
          <w:color w:val="000000" w:themeColor="text1"/>
        </w:rPr>
        <w:t>Memory Studies, 13</w:t>
      </w:r>
      <w:r w:rsidRPr="00CD72DC">
        <w:rPr>
          <w:color w:val="000000" w:themeColor="text1"/>
        </w:rPr>
        <w:t xml:space="preserve">(1), 3–16. </w:t>
      </w:r>
      <w:hyperlink r:id="rId19" w:history="1">
        <w:r w:rsidRPr="002E6E81">
          <w:rPr>
            <w:rStyle w:val="Hyperlink"/>
          </w:rPr>
          <w:t>https://doi.org/10.1177/1750698019883997</w:t>
        </w:r>
      </w:hyperlink>
    </w:p>
    <w:p w:rsidR="00F93B05" w:rsidRPr="00CD72DC" w:rsidRDefault="00F93B05" w:rsidP="001F427B">
      <w:pPr>
        <w:pStyle w:val="p1"/>
        <w:numPr>
          <w:ilvl w:val="0"/>
          <w:numId w:val="27"/>
        </w:numPr>
        <w:rPr>
          <w:color w:val="000000" w:themeColor="text1"/>
        </w:rPr>
      </w:pPr>
      <w:r w:rsidRPr="00CD72DC">
        <w:rPr>
          <w:b/>
          <w:bCs/>
          <w:color w:val="000000" w:themeColor="text1"/>
        </w:rPr>
        <w:t>Malafouris, L.</w:t>
      </w:r>
      <w:r w:rsidRPr="00CD72DC">
        <w:rPr>
          <w:rStyle w:val="s1"/>
          <w:color w:val="000000" w:themeColor="text1"/>
        </w:rPr>
        <w:t xml:space="preserve"> (2021). </w:t>
      </w:r>
      <w:r w:rsidRPr="00CD72DC">
        <w:rPr>
          <w:rStyle w:val="s1"/>
          <w:i/>
          <w:iCs/>
          <w:color w:val="000000" w:themeColor="text1"/>
        </w:rPr>
        <w:t>Material engagement theory</w:t>
      </w:r>
      <w:r w:rsidRPr="00CD72DC">
        <w:rPr>
          <w:rStyle w:val="s1"/>
          <w:color w:val="000000" w:themeColor="text1"/>
        </w:rPr>
        <w:t xml:space="preserve">. </w:t>
      </w:r>
      <w:r w:rsidRPr="00CD72DC">
        <w:rPr>
          <w:b/>
          <w:bCs/>
          <w:color w:val="000000" w:themeColor="text1"/>
        </w:rPr>
        <w:t>Philosophical Transactions of the Royal Society B: Biological Sciences, 376</w:t>
      </w:r>
      <w:r w:rsidRPr="00CD72DC">
        <w:rPr>
          <w:rStyle w:val="s1"/>
          <w:color w:val="000000" w:themeColor="text1"/>
        </w:rPr>
        <w:t xml:space="preserve">(1821), 20190719. </w:t>
      </w:r>
      <w:hyperlink r:id="rId20" w:history="1">
        <w:r w:rsidRPr="002E6E81">
          <w:rPr>
            <w:rStyle w:val="Hyperlink"/>
          </w:rPr>
          <w:t>https://doi.org/10.1098/rstb.2019.0719</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Renfrew, C., et al.</w:t>
      </w:r>
      <w:r w:rsidRPr="00CD72DC">
        <w:rPr>
          <w:color w:val="000000" w:themeColor="text1"/>
        </w:rPr>
        <w:t xml:space="preserve"> (2021). </w:t>
      </w:r>
      <w:r w:rsidRPr="00CD72DC">
        <w:rPr>
          <w:i/>
          <w:iCs/>
          <w:color w:val="000000" w:themeColor="text1"/>
        </w:rPr>
        <w:t>Ritual, materiality, and cognition</w:t>
      </w:r>
      <w:r w:rsidRPr="00CD72DC">
        <w:rPr>
          <w:color w:val="000000" w:themeColor="text1"/>
        </w:rPr>
        <w:t xml:space="preserve">. </w:t>
      </w:r>
      <w:r w:rsidRPr="00CD72DC">
        <w:rPr>
          <w:rStyle w:val="s1"/>
          <w:b/>
          <w:bCs/>
          <w:color w:val="000000" w:themeColor="text1"/>
        </w:rPr>
        <w:t>Cambridge Archaeological Journal, 31</w:t>
      </w:r>
      <w:r w:rsidRPr="00CD72DC">
        <w:rPr>
          <w:color w:val="000000" w:themeColor="text1"/>
        </w:rPr>
        <w:t xml:space="preserve">(2), 189–207. </w:t>
      </w:r>
      <w:hyperlink r:id="rId21" w:history="1">
        <w:r w:rsidRPr="002E6E81">
          <w:rPr>
            <w:rStyle w:val="Hyperlink"/>
          </w:rPr>
          <w:t>https://doi.org/10.1017/S0959774321000172</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d’Errico, F., et al.</w:t>
      </w:r>
      <w:r w:rsidRPr="00CD72DC">
        <w:rPr>
          <w:color w:val="000000" w:themeColor="text1"/>
        </w:rPr>
        <w:t xml:space="preserve"> (2022). </w:t>
      </w:r>
      <w:r w:rsidRPr="00CD72DC">
        <w:rPr>
          <w:i/>
          <w:iCs/>
          <w:color w:val="000000" w:themeColor="text1"/>
        </w:rPr>
        <w:t>Pigment systems and symbolic redundancy</w:t>
      </w:r>
      <w:r w:rsidRPr="00CD72DC">
        <w:rPr>
          <w:color w:val="000000" w:themeColor="text1"/>
        </w:rPr>
        <w:t xml:space="preserve">. </w:t>
      </w:r>
      <w:r w:rsidRPr="00CD72DC">
        <w:rPr>
          <w:rStyle w:val="s1"/>
          <w:b/>
          <w:bCs/>
          <w:color w:val="000000" w:themeColor="text1"/>
        </w:rPr>
        <w:t>Journal of Human Evolution, 164</w:t>
      </w:r>
      <w:r w:rsidRPr="00CD72DC">
        <w:rPr>
          <w:color w:val="000000" w:themeColor="text1"/>
        </w:rPr>
        <w:t xml:space="preserve">, 103287. </w:t>
      </w:r>
      <w:hyperlink r:id="rId22" w:history="1">
        <w:r w:rsidRPr="002E6E81">
          <w:rPr>
            <w:rStyle w:val="Hyperlink"/>
          </w:rPr>
          <w:t>https://doi.org/10.1016/j.jhevol.2022.103287</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Power, C., et al.</w:t>
      </w:r>
      <w:r w:rsidRPr="00CD72DC">
        <w:rPr>
          <w:color w:val="000000" w:themeColor="text1"/>
        </w:rPr>
        <w:t xml:space="preserve"> (2023). </w:t>
      </w:r>
      <w:r w:rsidRPr="00CD72DC">
        <w:rPr>
          <w:i/>
          <w:iCs/>
          <w:color w:val="000000" w:themeColor="text1"/>
        </w:rPr>
        <w:t>Collective ritual and symbolic stability</w:t>
      </w:r>
      <w:r w:rsidRPr="00CD72DC">
        <w:rPr>
          <w:color w:val="000000" w:themeColor="text1"/>
        </w:rPr>
        <w:t xml:space="preserve">. </w:t>
      </w:r>
      <w:r w:rsidRPr="00CD72DC">
        <w:rPr>
          <w:rStyle w:val="s1"/>
          <w:b/>
          <w:bCs/>
          <w:color w:val="000000" w:themeColor="text1"/>
        </w:rPr>
        <w:t>Evolutionary Anthropology, 32</w:t>
      </w:r>
      <w:r w:rsidRPr="00CD72DC">
        <w:rPr>
          <w:color w:val="000000" w:themeColor="text1"/>
        </w:rPr>
        <w:t xml:space="preserve">(5), 266–281. </w:t>
      </w:r>
      <w:hyperlink r:id="rId23" w:history="1">
        <w:r w:rsidRPr="002E6E81">
          <w:rPr>
            <w:rStyle w:val="Hyperlink"/>
          </w:rPr>
          <w:t>https://doi.org/10.1002/evan.21907</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Ramsey, C. B., et al.</w:t>
      </w:r>
      <w:r w:rsidRPr="00CD72DC">
        <w:rPr>
          <w:color w:val="000000" w:themeColor="text1"/>
        </w:rPr>
        <w:t xml:space="preserve"> (2022). </w:t>
      </w:r>
      <w:r w:rsidRPr="00CD72DC">
        <w:rPr>
          <w:i/>
          <w:iCs/>
          <w:color w:val="000000" w:themeColor="text1"/>
        </w:rPr>
        <w:t>Chronological precision in deep-time contexts</w:t>
      </w:r>
      <w:r w:rsidRPr="00CD72DC">
        <w:rPr>
          <w:color w:val="000000" w:themeColor="text1"/>
        </w:rPr>
        <w:t xml:space="preserve">. </w:t>
      </w:r>
      <w:r w:rsidRPr="00CD72DC">
        <w:rPr>
          <w:rStyle w:val="s1"/>
          <w:b/>
          <w:bCs/>
          <w:color w:val="000000" w:themeColor="text1"/>
        </w:rPr>
        <w:t>Radiocarbon, 64</w:t>
      </w:r>
      <w:r w:rsidRPr="00CD72DC">
        <w:rPr>
          <w:color w:val="000000" w:themeColor="text1"/>
        </w:rPr>
        <w:t xml:space="preserve">(6), 953–971. </w:t>
      </w:r>
      <w:hyperlink r:id="rId24" w:history="1">
        <w:r w:rsidRPr="002E6E81">
          <w:rPr>
            <w:rStyle w:val="Hyperlink"/>
          </w:rPr>
          <w:t>https://doi.org/10.1017/RDC.2022.12</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Stout, D., et al.</w:t>
      </w:r>
      <w:r w:rsidRPr="00CD72DC">
        <w:rPr>
          <w:color w:val="000000" w:themeColor="text1"/>
        </w:rPr>
        <w:t xml:space="preserve"> (2021). </w:t>
      </w:r>
      <w:r w:rsidRPr="00CD72DC">
        <w:rPr>
          <w:i/>
          <w:iCs/>
          <w:color w:val="000000" w:themeColor="text1"/>
        </w:rPr>
        <w:t>Neural plasticity and cultural repetition</w:t>
      </w:r>
      <w:r w:rsidRPr="00CD72DC">
        <w:rPr>
          <w:color w:val="000000" w:themeColor="text1"/>
        </w:rPr>
        <w:t xml:space="preserve">. </w:t>
      </w:r>
      <w:r w:rsidRPr="00CD72DC">
        <w:rPr>
          <w:rStyle w:val="s1"/>
          <w:b/>
          <w:bCs/>
          <w:color w:val="000000" w:themeColor="text1"/>
        </w:rPr>
        <w:t>Proceedings of the National Academy of Sciences, 118</w:t>
      </w:r>
      <w:r w:rsidRPr="00CD72DC">
        <w:rPr>
          <w:color w:val="000000" w:themeColor="text1"/>
        </w:rPr>
        <w:t xml:space="preserve">(23), e2014928118. </w:t>
      </w:r>
      <w:hyperlink r:id="rId25" w:history="1">
        <w:r w:rsidRPr="002E6E81">
          <w:rPr>
            <w:rStyle w:val="Hyperlink"/>
          </w:rPr>
          <w:t>https://doi.org/10.1073/pnas.2014928118</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White, R., et al.</w:t>
      </w:r>
      <w:r w:rsidRPr="00CD72DC">
        <w:rPr>
          <w:color w:val="000000" w:themeColor="text1"/>
        </w:rPr>
        <w:t xml:space="preserve"> (2020). </w:t>
      </w:r>
      <w:r w:rsidRPr="00CD72DC">
        <w:rPr>
          <w:i/>
          <w:iCs/>
          <w:color w:val="000000" w:themeColor="text1"/>
        </w:rPr>
        <w:t>Landscape ritualization</w:t>
      </w:r>
      <w:r w:rsidRPr="00CD72DC">
        <w:rPr>
          <w:color w:val="000000" w:themeColor="text1"/>
        </w:rPr>
        <w:t xml:space="preserve">. </w:t>
      </w:r>
      <w:r w:rsidRPr="00CD72DC">
        <w:rPr>
          <w:rStyle w:val="s1"/>
          <w:b/>
          <w:bCs/>
          <w:color w:val="000000" w:themeColor="text1"/>
        </w:rPr>
        <w:t>Antiquity, 94</w:t>
      </w:r>
      <w:r w:rsidRPr="00CD72DC">
        <w:rPr>
          <w:color w:val="000000" w:themeColor="text1"/>
        </w:rPr>
        <w:t xml:space="preserve">(373), 817–835. </w:t>
      </w:r>
      <w:hyperlink r:id="rId26" w:history="1">
        <w:r w:rsidRPr="002E6E81">
          <w:rPr>
            <w:rStyle w:val="Hyperlink"/>
          </w:rPr>
          <w:t>https://doi.org/10.15184/aqy.2020.40</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Grove, M., &amp; Coward, F.</w:t>
      </w:r>
      <w:r w:rsidRPr="00CD72DC">
        <w:rPr>
          <w:color w:val="000000" w:themeColor="text1"/>
        </w:rPr>
        <w:t xml:space="preserve"> (2021). </w:t>
      </w:r>
      <w:r w:rsidRPr="00CD72DC">
        <w:rPr>
          <w:i/>
          <w:iCs/>
          <w:color w:val="000000" w:themeColor="text1"/>
        </w:rPr>
        <w:t>Distributed cognition in archaeology</w:t>
      </w:r>
      <w:r w:rsidRPr="00CD72DC">
        <w:rPr>
          <w:color w:val="000000" w:themeColor="text1"/>
        </w:rPr>
        <w:t xml:space="preserve">. </w:t>
      </w:r>
      <w:r w:rsidRPr="00CD72DC">
        <w:rPr>
          <w:rStyle w:val="s1"/>
          <w:b/>
          <w:bCs/>
          <w:color w:val="000000" w:themeColor="text1"/>
        </w:rPr>
        <w:t>Journal of Archaeological Science, 132</w:t>
      </w:r>
      <w:r w:rsidRPr="00CD72DC">
        <w:rPr>
          <w:color w:val="000000" w:themeColor="text1"/>
        </w:rPr>
        <w:t>, 105411</w:t>
      </w:r>
      <w:hyperlink r:id="rId27" w:history="1">
        <w:r w:rsidRPr="002E6E81">
          <w:rPr>
            <w:rStyle w:val="Hyperlink"/>
          </w:rPr>
          <w:t>. https://doi.org/10.1016/j.jas.2021.105411</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Smith, B., et al.</w:t>
      </w:r>
      <w:r w:rsidRPr="00CD72DC">
        <w:rPr>
          <w:color w:val="000000" w:themeColor="text1"/>
        </w:rPr>
        <w:t xml:space="preserve"> (2023). </w:t>
      </w:r>
      <w:r w:rsidRPr="00CD72DC">
        <w:rPr>
          <w:i/>
          <w:iCs/>
          <w:color w:val="000000" w:themeColor="text1"/>
        </w:rPr>
        <w:t>Rock art access and authority</w:t>
      </w:r>
      <w:r w:rsidRPr="00CD72DC">
        <w:rPr>
          <w:color w:val="000000" w:themeColor="text1"/>
        </w:rPr>
        <w:t xml:space="preserve">. </w:t>
      </w:r>
      <w:r w:rsidRPr="00CD72DC">
        <w:rPr>
          <w:rStyle w:val="s1"/>
          <w:b/>
          <w:bCs/>
          <w:color w:val="000000" w:themeColor="text1"/>
        </w:rPr>
        <w:t>World Archaeology, 55</w:t>
      </w:r>
      <w:r w:rsidRPr="00CD72DC">
        <w:rPr>
          <w:color w:val="000000" w:themeColor="text1"/>
        </w:rPr>
        <w:t xml:space="preserve">(4), 619–640. </w:t>
      </w:r>
      <w:hyperlink r:id="rId28" w:history="1">
        <w:r w:rsidRPr="002E6E81">
          <w:rPr>
            <w:rStyle w:val="Hyperlink"/>
          </w:rPr>
          <w:t>https://doi.org/10.1080/00438243.2023.2208176</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Scerri, E. M. L., et al.</w:t>
      </w:r>
      <w:r w:rsidRPr="00CD72DC">
        <w:rPr>
          <w:color w:val="000000" w:themeColor="text1"/>
        </w:rPr>
        <w:t xml:space="preserve"> (2022). </w:t>
      </w:r>
      <w:r w:rsidRPr="00CD72DC">
        <w:rPr>
          <w:i/>
          <w:iCs/>
          <w:color w:val="000000" w:themeColor="text1"/>
        </w:rPr>
        <w:t>African–Asian symbolic continuities</w:t>
      </w:r>
      <w:r w:rsidRPr="00CD72DC">
        <w:rPr>
          <w:color w:val="000000" w:themeColor="text1"/>
        </w:rPr>
        <w:t xml:space="preserve">. </w:t>
      </w:r>
      <w:r w:rsidRPr="00CD72DC">
        <w:rPr>
          <w:rStyle w:val="s1"/>
          <w:b/>
          <w:bCs/>
          <w:color w:val="000000" w:themeColor="text1"/>
        </w:rPr>
        <w:t>Nature Ecology &amp; Evolution, 6</w:t>
      </w:r>
      <w:r w:rsidRPr="00CD72DC">
        <w:rPr>
          <w:color w:val="000000" w:themeColor="text1"/>
        </w:rPr>
        <w:t xml:space="preserve">(7), 976–987. </w:t>
      </w:r>
      <w:hyperlink r:id="rId29" w:history="1">
        <w:r w:rsidRPr="002E6E81">
          <w:rPr>
            <w:rStyle w:val="Hyperlink"/>
          </w:rPr>
          <w:t>https://doi.org/10.1038/s41559-022-01729-y</w:t>
        </w:r>
      </w:hyperlink>
    </w:p>
    <w:p w:rsidR="00F93B05" w:rsidRPr="00CD72DC" w:rsidRDefault="00F93B05" w:rsidP="001F427B">
      <w:pPr>
        <w:pStyle w:val="p1"/>
        <w:numPr>
          <w:ilvl w:val="0"/>
          <w:numId w:val="27"/>
        </w:numPr>
        <w:rPr>
          <w:color w:val="000000" w:themeColor="text1"/>
        </w:rPr>
      </w:pPr>
      <w:r w:rsidRPr="00CD72DC">
        <w:rPr>
          <w:rStyle w:val="s1"/>
          <w:b/>
          <w:bCs/>
          <w:color w:val="000000" w:themeColor="text1"/>
        </w:rPr>
        <w:t>Kuhn, S. L.</w:t>
      </w:r>
      <w:r w:rsidRPr="00CD72DC">
        <w:rPr>
          <w:color w:val="000000" w:themeColor="text1"/>
        </w:rPr>
        <w:t xml:space="preserve"> (2020). </w:t>
      </w:r>
      <w:r w:rsidRPr="00CD72DC">
        <w:rPr>
          <w:i/>
          <w:iCs/>
          <w:color w:val="000000" w:themeColor="text1"/>
        </w:rPr>
        <w:t>Cultural transmission and redundancy</w:t>
      </w:r>
      <w:r w:rsidRPr="00CD72DC">
        <w:rPr>
          <w:color w:val="000000" w:themeColor="text1"/>
        </w:rPr>
        <w:t xml:space="preserve">. </w:t>
      </w:r>
      <w:r w:rsidRPr="00CD72DC">
        <w:rPr>
          <w:rStyle w:val="s1"/>
          <w:b/>
          <w:bCs/>
          <w:color w:val="000000" w:themeColor="text1"/>
        </w:rPr>
        <w:t>Evolutionary Anthropology, 29</w:t>
      </w:r>
      <w:r w:rsidRPr="00CD72DC">
        <w:rPr>
          <w:color w:val="000000" w:themeColor="text1"/>
        </w:rPr>
        <w:t xml:space="preserve">(1), 42–53. </w:t>
      </w:r>
      <w:hyperlink r:id="rId30" w:history="1">
        <w:r w:rsidRPr="002E6E81">
          <w:rPr>
            <w:rStyle w:val="Hyperlink"/>
          </w:rPr>
          <w:t>https://doi.org/10.1002/evan.21841</w:t>
        </w:r>
      </w:hyperlink>
    </w:p>
    <w:p w:rsidR="00506632" w:rsidRPr="00CD72DC" w:rsidRDefault="00506632" w:rsidP="00F93B05">
      <w:pPr>
        <w:pStyle w:val="p1"/>
        <w:ind w:left="720"/>
        <w:rPr>
          <w:color w:val="000000" w:themeColor="text1"/>
        </w:rPr>
      </w:pPr>
    </w:p>
    <w:p w:rsidR="00241A26" w:rsidRPr="00CD72DC" w:rsidRDefault="00241A26">
      <w:pPr>
        <w:pStyle w:val="p1"/>
        <w:ind w:left="720"/>
        <w:rPr>
          <w:color w:val="000000" w:themeColor="text1"/>
        </w:rPr>
      </w:pPr>
    </w:p>
    <w:sectPr w:rsidR="00241A26" w:rsidRPr="00CD72DC" w:rsidSect="00CD72DC">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NexusSansWebPro">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65EAE"/>
    <w:multiLevelType w:val="multilevel"/>
    <w:tmpl w:val="273C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E41C0"/>
    <w:multiLevelType w:val="multilevel"/>
    <w:tmpl w:val="3166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36CEB"/>
    <w:multiLevelType w:val="multilevel"/>
    <w:tmpl w:val="7CF0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A6720"/>
    <w:multiLevelType w:val="multilevel"/>
    <w:tmpl w:val="F036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D229D"/>
    <w:multiLevelType w:val="multilevel"/>
    <w:tmpl w:val="2E30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A0C7A"/>
    <w:multiLevelType w:val="multilevel"/>
    <w:tmpl w:val="BBC2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A5051"/>
    <w:multiLevelType w:val="multilevel"/>
    <w:tmpl w:val="1152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00D83"/>
    <w:multiLevelType w:val="multilevel"/>
    <w:tmpl w:val="2610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9624B"/>
    <w:multiLevelType w:val="multilevel"/>
    <w:tmpl w:val="36FE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06A57"/>
    <w:multiLevelType w:val="hybridMultilevel"/>
    <w:tmpl w:val="850A4E7C"/>
    <w:lvl w:ilvl="0" w:tplc="0809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FCD1244"/>
    <w:multiLevelType w:val="multilevel"/>
    <w:tmpl w:val="CDB8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FE0191"/>
    <w:multiLevelType w:val="multilevel"/>
    <w:tmpl w:val="99303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9267D4"/>
    <w:multiLevelType w:val="hybridMultilevel"/>
    <w:tmpl w:val="F670D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B87F36"/>
    <w:multiLevelType w:val="multilevel"/>
    <w:tmpl w:val="3188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C001FD"/>
    <w:multiLevelType w:val="multilevel"/>
    <w:tmpl w:val="E676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4862D6"/>
    <w:multiLevelType w:val="hybridMultilevel"/>
    <w:tmpl w:val="F87422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297E09"/>
    <w:multiLevelType w:val="multilevel"/>
    <w:tmpl w:val="E9E8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D67BC"/>
    <w:multiLevelType w:val="hybridMultilevel"/>
    <w:tmpl w:val="BAAE3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EF00F50"/>
    <w:multiLevelType w:val="hybridMultilevel"/>
    <w:tmpl w:val="338E60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21F4801"/>
    <w:multiLevelType w:val="multilevel"/>
    <w:tmpl w:val="3A96D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8550D"/>
    <w:multiLevelType w:val="multilevel"/>
    <w:tmpl w:val="1AA8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D0941"/>
    <w:multiLevelType w:val="multilevel"/>
    <w:tmpl w:val="874C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307235"/>
    <w:multiLevelType w:val="multilevel"/>
    <w:tmpl w:val="7422B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3C1CCD"/>
    <w:multiLevelType w:val="hybridMultilevel"/>
    <w:tmpl w:val="31087E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A00F9C"/>
    <w:multiLevelType w:val="multilevel"/>
    <w:tmpl w:val="1410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A906E7"/>
    <w:multiLevelType w:val="multilevel"/>
    <w:tmpl w:val="0286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FB0F5D"/>
    <w:multiLevelType w:val="multilevel"/>
    <w:tmpl w:val="45F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279106">
    <w:abstractNumId w:val="23"/>
  </w:num>
  <w:num w:numId="2" w16cid:durableId="999892871">
    <w:abstractNumId w:val="5"/>
  </w:num>
  <w:num w:numId="3" w16cid:durableId="1313800473">
    <w:abstractNumId w:val="15"/>
  </w:num>
  <w:num w:numId="4" w16cid:durableId="2124809911">
    <w:abstractNumId w:val="17"/>
  </w:num>
  <w:num w:numId="5" w16cid:durableId="2033411904">
    <w:abstractNumId w:val="18"/>
  </w:num>
  <w:num w:numId="6" w16cid:durableId="357203165">
    <w:abstractNumId w:val="11"/>
  </w:num>
  <w:num w:numId="7" w16cid:durableId="367535587">
    <w:abstractNumId w:val="21"/>
  </w:num>
  <w:num w:numId="8" w16cid:durableId="1647125735">
    <w:abstractNumId w:val="9"/>
  </w:num>
  <w:num w:numId="9" w16cid:durableId="1288244886">
    <w:abstractNumId w:val="3"/>
  </w:num>
  <w:num w:numId="10" w16cid:durableId="88241426">
    <w:abstractNumId w:val="14"/>
  </w:num>
  <w:num w:numId="11" w16cid:durableId="750468531">
    <w:abstractNumId w:val="1"/>
  </w:num>
  <w:num w:numId="12" w16cid:durableId="600063085">
    <w:abstractNumId w:val="16"/>
  </w:num>
  <w:num w:numId="13" w16cid:durableId="1967929886">
    <w:abstractNumId w:val="25"/>
  </w:num>
  <w:num w:numId="14" w16cid:durableId="54790668">
    <w:abstractNumId w:val="19"/>
  </w:num>
  <w:num w:numId="15" w16cid:durableId="2146198412">
    <w:abstractNumId w:val="6"/>
  </w:num>
  <w:num w:numId="16" w16cid:durableId="650211916">
    <w:abstractNumId w:val="4"/>
  </w:num>
  <w:num w:numId="17" w16cid:durableId="687830790">
    <w:abstractNumId w:val="8"/>
  </w:num>
  <w:num w:numId="18" w16cid:durableId="940529709">
    <w:abstractNumId w:val="2"/>
  </w:num>
  <w:num w:numId="19" w16cid:durableId="1528984714">
    <w:abstractNumId w:val="24"/>
  </w:num>
  <w:num w:numId="20" w16cid:durableId="1747720778">
    <w:abstractNumId w:val="7"/>
  </w:num>
  <w:num w:numId="21" w16cid:durableId="809054083">
    <w:abstractNumId w:val="10"/>
  </w:num>
  <w:num w:numId="22" w16cid:durableId="1807504560">
    <w:abstractNumId w:val="22"/>
  </w:num>
  <w:num w:numId="23" w16cid:durableId="353188796">
    <w:abstractNumId w:val="13"/>
  </w:num>
  <w:num w:numId="24" w16cid:durableId="862401642">
    <w:abstractNumId w:val="20"/>
  </w:num>
  <w:num w:numId="25" w16cid:durableId="139419198">
    <w:abstractNumId w:val="0"/>
  </w:num>
  <w:num w:numId="26" w16cid:durableId="347684307">
    <w:abstractNumId w:val="26"/>
  </w:num>
  <w:num w:numId="27" w16cid:durableId="3066697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950"/>
    <w:rsid w:val="001F427B"/>
    <w:rsid w:val="00241A26"/>
    <w:rsid w:val="002E6E81"/>
    <w:rsid w:val="00506632"/>
    <w:rsid w:val="006B0FD5"/>
    <w:rsid w:val="00707CD8"/>
    <w:rsid w:val="00760950"/>
    <w:rsid w:val="009F13AD"/>
    <w:rsid w:val="00BE5B40"/>
    <w:rsid w:val="00C148E4"/>
    <w:rsid w:val="00C23FB7"/>
    <w:rsid w:val="00C265A8"/>
    <w:rsid w:val="00CD72DC"/>
    <w:rsid w:val="00E94CED"/>
    <w:rsid w:val="00F93B05"/>
    <w:rsid w:val="00FE16B0"/>
  </w:rsids>
  <m:mathPr>
    <m:mathFont m:val="Cambria Math"/>
    <m:brkBin m:val="before"/>
    <m:brkBinSub m:val="--"/>
    <m:smallFrac m:val="0"/>
    <m:dispDef/>
    <m:lMargin m:val="0"/>
    <m:rMargin m:val="0"/>
    <m:defJc m:val="centerGroup"/>
    <m:wrapIndent m:val="1440"/>
    <m:intLim m:val="subSup"/>
    <m:naryLim m:val="undOvr"/>
  </m:mathPr>
  <w:themeFontLang w:val="en-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E0202"/>
  <w15:chartTrackingRefBased/>
  <w15:docId w15:val="{8C224FFC-5A15-5F48-9296-F0849E640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A2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41A2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60950"/>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760950"/>
    <w:pPr>
      <w:spacing w:before="100" w:beforeAutospacing="1" w:after="100" w:afterAutospacing="1"/>
    </w:pPr>
    <w:rPr>
      <w:rFonts w:ascii="Times New Roman" w:eastAsia="Times New Roman" w:hAnsi="Times New Roman" w:cs="Times New Roman"/>
      <w:lang w:eastAsia="en-GB"/>
    </w:rPr>
  </w:style>
  <w:style w:type="paragraph" w:customStyle="1" w:styleId="p2">
    <w:name w:val="p2"/>
    <w:basedOn w:val="Normal"/>
    <w:rsid w:val="00760950"/>
    <w:pPr>
      <w:spacing w:before="100" w:beforeAutospacing="1" w:after="100" w:afterAutospacing="1"/>
    </w:pPr>
    <w:rPr>
      <w:rFonts w:ascii="Times New Roman" w:eastAsia="Times New Roman" w:hAnsi="Times New Roman" w:cs="Times New Roman"/>
      <w:lang w:eastAsia="en-GB"/>
    </w:rPr>
  </w:style>
  <w:style w:type="character" w:customStyle="1" w:styleId="apple-tab-span">
    <w:name w:val="apple-tab-span"/>
    <w:basedOn w:val="DefaultParagraphFont"/>
    <w:rsid w:val="00760950"/>
  </w:style>
  <w:style w:type="character" w:customStyle="1" w:styleId="s1">
    <w:name w:val="s1"/>
    <w:basedOn w:val="DefaultParagraphFont"/>
    <w:rsid w:val="00760950"/>
  </w:style>
  <w:style w:type="character" w:customStyle="1" w:styleId="Heading3Char">
    <w:name w:val="Heading 3 Char"/>
    <w:basedOn w:val="DefaultParagraphFont"/>
    <w:link w:val="Heading3"/>
    <w:uiPriority w:val="9"/>
    <w:rsid w:val="00760950"/>
    <w:rPr>
      <w:rFonts w:ascii="Times New Roman" w:eastAsia="Times New Roman" w:hAnsi="Times New Roman" w:cs="Times New Roman"/>
      <w:b/>
      <w:bCs/>
      <w:sz w:val="27"/>
      <w:szCs w:val="27"/>
      <w:lang w:eastAsia="en-GB"/>
    </w:rPr>
  </w:style>
  <w:style w:type="character" w:styleId="Hyperlink">
    <w:name w:val="Hyperlink"/>
    <w:basedOn w:val="DefaultParagraphFont"/>
    <w:uiPriority w:val="99"/>
    <w:unhideWhenUsed/>
    <w:rsid w:val="00760950"/>
    <w:rPr>
      <w:color w:val="0563C1" w:themeColor="hyperlink"/>
      <w:u w:val="single"/>
    </w:rPr>
  </w:style>
  <w:style w:type="paragraph" w:customStyle="1" w:styleId="p3">
    <w:name w:val="p3"/>
    <w:basedOn w:val="Normal"/>
    <w:rsid w:val="00C265A8"/>
    <w:pPr>
      <w:spacing w:before="100" w:beforeAutospacing="1" w:after="100" w:afterAutospacing="1"/>
    </w:pPr>
    <w:rPr>
      <w:rFonts w:ascii="Times New Roman" w:eastAsia="Times New Roman" w:hAnsi="Times New Roman" w:cs="Times New Roman"/>
      <w:lang w:eastAsia="en-GB"/>
    </w:rPr>
  </w:style>
  <w:style w:type="character" w:styleId="UnresolvedMention">
    <w:name w:val="Unresolved Mention"/>
    <w:basedOn w:val="DefaultParagraphFont"/>
    <w:uiPriority w:val="99"/>
    <w:semiHidden/>
    <w:unhideWhenUsed/>
    <w:rsid w:val="00C265A8"/>
    <w:rPr>
      <w:color w:val="605E5C"/>
      <w:shd w:val="clear" w:color="auto" w:fill="E1DFDD"/>
    </w:rPr>
  </w:style>
  <w:style w:type="character" w:styleId="FollowedHyperlink">
    <w:name w:val="FollowedHyperlink"/>
    <w:basedOn w:val="DefaultParagraphFont"/>
    <w:uiPriority w:val="99"/>
    <w:semiHidden/>
    <w:unhideWhenUsed/>
    <w:rsid w:val="00C265A8"/>
    <w:rPr>
      <w:color w:val="954F72" w:themeColor="followedHyperlink"/>
      <w:u w:val="single"/>
    </w:rPr>
  </w:style>
  <w:style w:type="paragraph" w:styleId="ListParagraph">
    <w:name w:val="List Paragraph"/>
    <w:basedOn w:val="Normal"/>
    <w:uiPriority w:val="34"/>
    <w:qFormat/>
    <w:rsid w:val="00C265A8"/>
    <w:pPr>
      <w:ind w:left="720"/>
      <w:contextualSpacing/>
    </w:pPr>
  </w:style>
  <w:style w:type="character" w:customStyle="1" w:styleId="apple-converted-space">
    <w:name w:val="apple-converted-space"/>
    <w:basedOn w:val="DefaultParagraphFont"/>
    <w:rsid w:val="00F93B05"/>
  </w:style>
  <w:style w:type="character" w:customStyle="1" w:styleId="Heading1Char">
    <w:name w:val="Heading 1 Char"/>
    <w:basedOn w:val="DefaultParagraphFont"/>
    <w:link w:val="Heading1"/>
    <w:uiPriority w:val="9"/>
    <w:rsid w:val="00241A2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41A26"/>
    <w:rPr>
      <w:rFonts w:asciiTheme="majorHAnsi" w:eastAsiaTheme="majorEastAsia" w:hAnsiTheme="majorHAnsi" w:cstheme="majorBidi"/>
      <w:color w:val="2F5496" w:themeColor="accent1" w:themeShade="BF"/>
      <w:sz w:val="26"/>
      <w:szCs w:val="26"/>
    </w:rPr>
  </w:style>
  <w:style w:type="character" w:customStyle="1" w:styleId="s2">
    <w:name w:val="s2"/>
    <w:basedOn w:val="DefaultParagraphFont"/>
    <w:rsid w:val="00241A26"/>
  </w:style>
  <w:style w:type="paragraph" w:customStyle="1" w:styleId="p4">
    <w:name w:val="p4"/>
    <w:basedOn w:val="Normal"/>
    <w:rsid w:val="00241A26"/>
    <w:pPr>
      <w:spacing w:before="100" w:beforeAutospacing="1" w:after="100" w:afterAutospacing="1"/>
    </w:pPr>
    <w:rPr>
      <w:rFonts w:ascii="Times New Roman" w:eastAsia="Times New Roman" w:hAnsi="Times New Roman" w:cs="Times New Roman"/>
      <w:lang w:eastAsia="en-GB"/>
    </w:rPr>
  </w:style>
  <w:style w:type="character" w:customStyle="1" w:styleId="s3">
    <w:name w:val="s3"/>
    <w:basedOn w:val="DefaultParagraphFont"/>
    <w:rsid w:val="00241A26"/>
  </w:style>
  <w:style w:type="paragraph" w:styleId="NormalWeb">
    <w:name w:val="Normal (Web)"/>
    <w:basedOn w:val="Normal"/>
    <w:uiPriority w:val="99"/>
    <w:semiHidden/>
    <w:unhideWhenUsed/>
    <w:rsid w:val="00C23FB7"/>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604833">
      <w:bodyDiv w:val="1"/>
      <w:marLeft w:val="0"/>
      <w:marRight w:val="0"/>
      <w:marTop w:val="0"/>
      <w:marBottom w:val="0"/>
      <w:divBdr>
        <w:top w:val="none" w:sz="0" w:space="0" w:color="auto"/>
        <w:left w:val="none" w:sz="0" w:space="0" w:color="auto"/>
        <w:bottom w:val="none" w:sz="0" w:space="0" w:color="auto"/>
        <w:right w:val="none" w:sz="0" w:space="0" w:color="auto"/>
      </w:divBdr>
    </w:div>
    <w:div w:id="308019755">
      <w:bodyDiv w:val="1"/>
      <w:marLeft w:val="0"/>
      <w:marRight w:val="0"/>
      <w:marTop w:val="0"/>
      <w:marBottom w:val="0"/>
      <w:divBdr>
        <w:top w:val="none" w:sz="0" w:space="0" w:color="auto"/>
        <w:left w:val="none" w:sz="0" w:space="0" w:color="auto"/>
        <w:bottom w:val="none" w:sz="0" w:space="0" w:color="auto"/>
        <w:right w:val="none" w:sz="0" w:space="0" w:color="auto"/>
      </w:divBdr>
    </w:div>
    <w:div w:id="381902104">
      <w:bodyDiv w:val="1"/>
      <w:marLeft w:val="0"/>
      <w:marRight w:val="0"/>
      <w:marTop w:val="0"/>
      <w:marBottom w:val="0"/>
      <w:divBdr>
        <w:top w:val="none" w:sz="0" w:space="0" w:color="auto"/>
        <w:left w:val="none" w:sz="0" w:space="0" w:color="auto"/>
        <w:bottom w:val="none" w:sz="0" w:space="0" w:color="auto"/>
        <w:right w:val="none" w:sz="0" w:space="0" w:color="auto"/>
      </w:divBdr>
      <w:divsChild>
        <w:div w:id="12965656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13900907">
      <w:bodyDiv w:val="1"/>
      <w:marLeft w:val="0"/>
      <w:marRight w:val="0"/>
      <w:marTop w:val="0"/>
      <w:marBottom w:val="0"/>
      <w:divBdr>
        <w:top w:val="none" w:sz="0" w:space="0" w:color="auto"/>
        <w:left w:val="none" w:sz="0" w:space="0" w:color="auto"/>
        <w:bottom w:val="none" w:sz="0" w:space="0" w:color="auto"/>
        <w:right w:val="none" w:sz="0" w:space="0" w:color="auto"/>
      </w:divBdr>
    </w:div>
    <w:div w:id="659892199">
      <w:bodyDiv w:val="1"/>
      <w:marLeft w:val="0"/>
      <w:marRight w:val="0"/>
      <w:marTop w:val="0"/>
      <w:marBottom w:val="0"/>
      <w:divBdr>
        <w:top w:val="none" w:sz="0" w:space="0" w:color="auto"/>
        <w:left w:val="none" w:sz="0" w:space="0" w:color="auto"/>
        <w:bottom w:val="none" w:sz="0" w:space="0" w:color="auto"/>
        <w:right w:val="none" w:sz="0" w:space="0" w:color="auto"/>
      </w:divBdr>
    </w:div>
    <w:div w:id="866452681">
      <w:bodyDiv w:val="1"/>
      <w:marLeft w:val="0"/>
      <w:marRight w:val="0"/>
      <w:marTop w:val="0"/>
      <w:marBottom w:val="0"/>
      <w:divBdr>
        <w:top w:val="none" w:sz="0" w:space="0" w:color="auto"/>
        <w:left w:val="none" w:sz="0" w:space="0" w:color="auto"/>
        <w:bottom w:val="none" w:sz="0" w:space="0" w:color="auto"/>
        <w:right w:val="none" w:sz="0" w:space="0" w:color="auto"/>
      </w:divBdr>
    </w:div>
    <w:div w:id="893659207">
      <w:bodyDiv w:val="1"/>
      <w:marLeft w:val="0"/>
      <w:marRight w:val="0"/>
      <w:marTop w:val="0"/>
      <w:marBottom w:val="0"/>
      <w:divBdr>
        <w:top w:val="none" w:sz="0" w:space="0" w:color="auto"/>
        <w:left w:val="none" w:sz="0" w:space="0" w:color="auto"/>
        <w:bottom w:val="none" w:sz="0" w:space="0" w:color="auto"/>
        <w:right w:val="none" w:sz="0" w:space="0" w:color="auto"/>
      </w:divBdr>
    </w:div>
    <w:div w:id="1267352390">
      <w:bodyDiv w:val="1"/>
      <w:marLeft w:val="0"/>
      <w:marRight w:val="0"/>
      <w:marTop w:val="0"/>
      <w:marBottom w:val="0"/>
      <w:divBdr>
        <w:top w:val="none" w:sz="0" w:space="0" w:color="auto"/>
        <w:left w:val="none" w:sz="0" w:space="0" w:color="auto"/>
        <w:bottom w:val="none" w:sz="0" w:space="0" w:color="auto"/>
        <w:right w:val="none" w:sz="0" w:space="0" w:color="auto"/>
      </w:divBdr>
      <w:divsChild>
        <w:div w:id="6106313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23043575">
      <w:bodyDiv w:val="1"/>
      <w:marLeft w:val="0"/>
      <w:marRight w:val="0"/>
      <w:marTop w:val="0"/>
      <w:marBottom w:val="0"/>
      <w:divBdr>
        <w:top w:val="none" w:sz="0" w:space="0" w:color="auto"/>
        <w:left w:val="none" w:sz="0" w:space="0" w:color="auto"/>
        <w:bottom w:val="none" w:sz="0" w:space="0" w:color="auto"/>
        <w:right w:val="none" w:sz="0" w:space="0" w:color="auto"/>
      </w:divBdr>
    </w:div>
    <w:div w:id="1649362138">
      <w:bodyDiv w:val="1"/>
      <w:marLeft w:val="0"/>
      <w:marRight w:val="0"/>
      <w:marTop w:val="0"/>
      <w:marBottom w:val="0"/>
      <w:divBdr>
        <w:top w:val="none" w:sz="0" w:space="0" w:color="auto"/>
        <w:left w:val="none" w:sz="0" w:space="0" w:color="auto"/>
        <w:bottom w:val="none" w:sz="0" w:space="0" w:color="auto"/>
        <w:right w:val="none" w:sz="0" w:space="0" w:color="auto"/>
      </w:divBdr>
    </w:div>
    <w:div w:id="1756785470">
      <w:bodyDiv w:val="1"/>
      <w:marLeft w:val="0"/>
      <w:marRight w:val="0"/>
      <w:marTop w:val="0"/>
      <w:marBottom w:val="0"/>
      <w:divBdr>
        <w:top w:val="none" w:sz="0" w:space="0" w:color="auto"/>
        <w:left w:val="none" w:sz="0" w:space="0" w:color="auto"/>
        <w:bottom w:val="none" w:sz="0" w:space="0" w:color="auto"/>
        <w:right w:val="none" w:sz="0" w:space="0" w:color="auto"/>
      </w:divBdr>
    </w:div>
    <w:div w:id="214233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2139/ssrn.6003734" TargetMode="External"/><Relationship Id="rId13" Type="http://schemas.openxmlformats.org/officeDocument/2006/relationships/hyperlink" Target="https://doi.org/10.1038/s41586-025-09968-y" TargetMode="External"/><Relationship Id="rId18" Type="http://schemas.openxmlformats.org/officeDocument/2006/relationships/hyperlink" Target="https://doi.org/10.15184/aqy.2020.69" TargetMode="External"/><Relationship Id="rId26" Type="http://schemas.openxmlformats.org/officeDocument/2006/relationships/hyperlink" Target="https://doi.org/10.15184/aqy.2020.40" TargetMode="External"/><Relationship Id="rId3" Type="http://schemas.openxmlformats.org/officeDocument/2006/relationships/settings" Target="settings.xml"/><Relationship Id="rId21" Type="http://schemas.openxmlformats.org/officeDocument/2006/relationships/hyperlink" Target="https://doi.org/10.1017/S0959774321000172" TargetMode="External"/><Relationship Id="rId7" Type="http://schemas.openxmlformats.org/officeDocument/2006/relationships/hyperlink" Target="https://ssrn.com/abstract=6003734" TargetMode="External"/><Relationship Id="rId12" Type="http://schemas.openxmlformats.org/officeDocument/2006/relationships/hyperlink" Target="https://doi.org/10.6084/m9.figshare.31113958.v1" TargetMode="External"/><Relationship Id="rId17" Type="http://schemas.openxmlformats.org/officeDocument/2006/relationships/hyperlink" Target="https://doi.org/10.1016/j.jas.2022.105578" TargetMode="External"/><Relationship Id="rId25" Type="http://schemas.openxmlformats.org/officeDocument/2006/relationships/hyperlink" Target="https://doi.org/10.1073/pnas.2014928118" TargetMode="External"/><Relationship Id="rId2" Type="http://schemas.openxmlformats.org/officeDocument/2006/relationships/styles" Target="styles.xml"/><Relationship Id="rId16" Type="http://schemas.openxmlformats.org/officeDocument/2006/relationships/hyperlink" Target="https://doi.org/10.1126/science.1219989" TargetMode="External"/><Relationship Id="rId20" Type="http://schemas.openxmlformats.org/officeDocument/2006/relationships/hyperlink" Target="https://doi.org/10.1098/rstb.2019.0719" TargetMode="External"/><Relationship Id="rId29" Type="http://schemas.openxmlformats.org/officeDocument/2006/relationships/hyperlink" Target="https://doi.org/10.1038/s41559-022-01729-y" TargetMode="External"/><Relationship Id="rId1" Type="http://schemas.openxmlformats.org/officeDocument/2006/relationships/numbering" Target="numbering.xml"/><Relationship Id="rId6" Type="http://schemas.openxmlformats.org/officeDocument/2006/relationships/hyperlink" Target="https://doi.org/10.5281/zenodo.18421611" TargetMode="External"/><Relationship Id="rId11" Type="http://schemas.openxmlformats.org/officeDocument/2006/relationships/hyperlink" Target="https://doi.org/10.17605/OSF.IO/25AJW" TargetMode="External"/><Relationship Id="rId24" Type="http://schemas.openxmlformats.org/officeDocument/2006/relationships/hyperlink" Target="https://doi.org/10.1017/RDC.2022.12" TargetMode="External"/><Relationship Id="rId32" Type="http://schemas.openxmlformats.org/officeDocument/2006/relationships/theme" Target="theme/theme1.xml"/><Relationship Id="rId5" Type="http://schemas.openxmlformats.org/officeDocument/2006/relationships/hyperlink" Target="https://doi.org/10.5281/zenodo.18421711" TargetMode="External"/><Relationship Id="rId15" Type="http://schemas.openxmlformats.org/officeDocument/2006/relationships/hyperlink" Target="file:///Users/tony/.Trash/.%20https:/doi.org/10.1126/sciadv.abd4648" TargetMode="External"/><Relationship Id="rId23" Type="http://schemas.openxmlformats.org/officeDocument/2006/relationships/hyperlink" Target="https://doi.org/10.1002/evan.21907" TargetMode="External"/><Relationship Id="rId28" Type="http://schemas.openxmlformats.org/officeDocument/2006/relationships/hyperlink" Target="https://doi.org/10.1080/00438243.2023.2208176" TargetMode="External"/><Relationship Id="rId10" Type="http://schemas.openxmlformats.org/officeDocument/2006/relationships/hyperlink" Target="https://doi.org/10.6084/m9.figshare.31061698.v3" TargetMode="External"/><Relationship Id="rId19" Type="http://schemas.openxmlformats.org/officeDocument/2006/relationships/hyperlink" Target="https://doi.org/10.1177/1750698019883997"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6084/m9.figshare.31061758.v2" TargetMode="External"/><Relationship Id="rId14" Type="http://schemas.openxmlformats.org/officeDocument/2006/relationships/hyperlink" Target="https://doi.org/10.1038/s41586-024-07541-7" TargetMode="External"/><Relationship Id="rId22" Type="http://schemas.openxmlformats.org/officeDocument/2006/relationships/hyperlink" Target="https://doi.org/10.1016/j.jhevol.2022.103287" TargetMode="External"/><Relationship Id="rId27" Type="http://schemas.openxmlformats.org/officeDocument/2006/relationships/hyperlink" Target="https://doi.org/10.1016/j.jas.2021.105411" TargetMode="External"/><Relationship Id="rId30" Type="http://schemas.openxmlformats.org/officeDocument/2006/relationships/hyperlink" Target="https://doi.org/10.1002/evan.218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2623</Words>
  <Characters>14957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cp:lastPrinted>2026-01-29T20:49:00Z</cp:lastPrinted>
  <dcterms:created xsi:type="dcterms:W3CDTF">2026-01-29T20:49:00Z</dcterms:created>
  <dcterms:modified xsi:type="dcterms:W3CDTF">2026-01-29T21:10:00Z</dcterms:modified>
</cp:coreProperties>
</file>