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8"/>
          <w:color w:val="1565C0"/>
          <w:rFonts w:ascii="Calibri" w:hAnsi="Calibri"/>
        </w:rPr>
        <w:t xml:space="preserve">DIAGRAM 1: Research Methodology Flowchart</w:t>
      </w:r>
    </w:p>
    <w:p>
      <w:pPr>
        <w:jc w:val="center"/>
      </w:pPr>
      <w:r>
        <w:rPr>
          <w:sz w:val="22"/>
          <w:color w:val="000000"/>
          <w:rFonts w:ascii="Calibri" w:hAnsi="Calibri"/>
        </w:rPr>
        <w:t xml:space="preserv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</w:tblPr>
      <w:tblGrid>
        <w:gridCol w:w="9000"/>
      </w:tblGrid>
      <w:tr>
        <w:tc>
          <w:tcPr>
            <w:tcW w:w="0" w:type="auto"/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b/>
                <w:sz w:val="22"/>
                <w:color w:val="FFFFFF"/>
                <w:rFonts w:ascii="Calibri" w:hAnsi="Calibri"/>
              </w:rPr>
              <w:t xml:space="preserve">Problem identification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b/>
                <w:sz w:val="28"/>
                <w:color w:val="000000"/>
                <w:rFonts w:ascii="Calibri" w:hAnsi="Calibri"/>
              </w:rPr>
              <w:t xml:space="preserve">↓</w:t>
            </w:r>
          </w:p>
        </w:tc>
      </w:tr>
      <w:tr>
        <w:tc>
          <w:tcPr>
            <w:tcW w:w="0" w:type="auto"/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b/>
                <w:sz w:val="22"/>
                <w:color w:val="FFFFFF"/>
                <w:rFonts w:ascii="Calibri" w:hAnsi="Calibri"/>
              </w:rPr>
              <w:t xml:space="preserve">Site selection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b/>
                <w:sz w:val="28"/>
                <w:color w:val="000000"/>
                <w:rFonts w:ascii="Calibri" w:hAnsi="Calibri"/>
              </w:rPr>
              <w:t xml:space="preserve">↓</w:t>
            </w:r>
          </w:p>
        </w:tc>
      </w:tr>
      <w:tr>
        <w:tc>
          <w:tcPr>
            <w:tcW w:w="0" w:type="auto"/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b/>
                <w:sz w:val="22"/>
                <w:color w:val="FFFFFF"/>
                <w:rFonts w:ascii="Calibri" w:hAnsi="Calibri"/>
              </w:rPr>
              <w:t xml:space="preserve">Literature review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b/>
                <w:sz w:val="28"/>
                <w:color w:val="000000"/>
                <w:rFonts w:ascii="Calibri" w:hAnsi="Calibri"/>
              </w:rPr>
              <w:t xml:space="preserve">↓</w:t>
            </w:r>
          </w:p>
        </w:tc>
      </w:tr>
      <w:tr>
        <w:tc>
          <w:tcPr>
            <w:tcW w:w="0" w:type="auto"/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b/>
                <w:sz w:val="22"/>
                <w:color w:val="FFFFFF"/>
                <w:rFonts w:ascii="Calibri" w:hAnsi="Calibri"/>
              </w:rPr>
              <w:t xml:space="preserve">Field observation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b/>
                <w:sz w:val="28"/>
                <w:color w:val="000000"/>
                <w:rFonts w:ascii="Calibri" w:hAnsi="Calibri"/>
              </w:rPr>
              <w:t xml:space="preserve">↓</w:t>
            </w:r>
          </w:p>
        </w:tc>
      </w:tr>
      <w:tr>
        <w:tc>
          <w:tcPr>
            <w:tcW w:w="0" w:type="auto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b/>
                <w:sz w:val="22"/>
                <w:color w:val="FFFFFF"/>
                <w:rFonts w:ascii="Calibri" w:hAnsi="Calibri"/>
              </w:rPr>
              <w:t xml:space="preserve">Data collection</w:t>
            </w:r>
          </w:p>
        </w:tc>
      </w:tr>
    </w:tbl>
    <w:p>
      <w:pPr>
        <w:jc w:val="center"/>
      </w:pPr>
      <w:r>
        <w:rPr>
          <w:sz w:val="22"/>
          <w:color w:val="000000"/>
          <w:rFonts w:ascii="Calibri" w:hAnsi="Calibri"/>
        </w:rPr>
        <w:t xml:space="preserv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</w:tblPr>
      <w:tblGrid>
        <w:gridCol w:w="4500"/>
        <w:gridCol w:w="4500"/>
      </w:tblGrid>
      <w:tr>
        <w:tc>
          <w:tcPr>
            <w:tcW w:w="0" w:type="auto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b/>
                <w:sz w:val="22"/>
                <w:color w:val="FFFFFF"/>
                <w:rFonts w:ascii="Calibri" w:hAnsi="Calibri"/>
              </w:rPr>
              <w:t xml:space="preserve">Primary</w:t>
            </w:r>
          </w:p>
        </w:tc>
        <w:tc>
          <w:tcPr>
            <w:tcW w:w="0" w:type="auto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b/>
                <w:sz w:val="22"/>
                <w:color w:val="FFFFFF"/>
                <w:rFonts w:ascii="Calibri" w:hAnsi="Calibri"/>
              </w:rPr>
              <w:t xml:space="preserve">Secondary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left"/>
            </w:pPr>
            <w:r>
              <w:rPr>
                <w:sz w:val="18"/>
                <w:color w:val="000000"/>
                <w:rFonts w:ascii="Calibri" w:hAnsi="Calibri"/>
              </w:rPr>
              <w:t xml:space="preserve">• Questionnaire Survey
• KII (Key Informative Interview)
• Observational Survey</w:t>
            </w:r>
          </w:p>
        </w:tc>
        <w:tc>
          <w:tcPr>
            <w:tcW w:w="0" w:type="auto"/>
            <w:vAlign w:val="center"/>
          </w:tcPr>
          <w:p>
            <w:pPr>
              <w:jc w:val="left"/>
            </w:pPr>
            <w:r>
              <w:rPr>
                <w:sz w:val="18"/>
                <w:color w:val="000000"/>
                <w:rFonts w:ascii="Calibri" w:hAnsi="Calibri"/>
              </w:rPr>
              <w:t xml:space="preserve">• Govt. website
• Upazila Administrative
• Books, Journal and Articles</w:t>
            </w:r>
          </w:p>
        </w:tc>
      </w:tr>
    </w:tbl>
    <w:p>
      <w:pPr>
        <w:jc w:val="center"/>
      </w:pPr>
      <w:r>
        <w:rPr>
          <w:sz w:val="22"/>
          <w:color w:val="000000"/>
          <w:rFonts w:ascii="Calibri" w:hAnsi="Calibri"/>
        </w:rPr>
        <w:t xml:space="preserve"/>
      </w:r>
    </w:p>
    <w:p>
      <w:pPr>
        <w:jc w:val="center"/>
      </w:pPr>
      <w:r>
        <w:rPr>
          <w:b/>
          <w:sz w:val="28"/>
          <w:color w:val="000000"/>
          <w:rFonts w:ascii="Calibri" w:hAnsi="Calibri"/>
        </w:rPr>
        <w:t xml:space="preserve">↓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</w:tblPr>
      <w:tblGrid>
        <w:gridCol w:w="9000"/>
      </w:tblGrid>
      <w:tr>
        <w:tc>
          <w:tcPr>
            <w:tcW w:w="0" w:type="auto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b/>
                <w:sz w:val="22"/>
                <w:color w:val="FFFFFF"/>
                <w:rFonts w:ascii="Calibri" w:hAnsi="Calibri"/>
              </w:rPr>
              <w:t xml:space="preserve">Data acquisition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b/>
                <w:sz w:val="28"/>
                <w:color w:val="000000"/>
                <w:rFonts w:ascii="Calibri" w:hAnsi="Calibri"/>
              </w:rPr>
              <w:t xml:space="preserve">↓</w:t>
            </w:r>
          </w:p>
        </w:tc>
      </w:tr>
      <w:tr>
        <w:tc>
          <w:tcPr>
            <w:tcW w:w="0" w:type="auto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b/>
                <w:sz w:val="22"/>
                <w:color w:val="FFFFFF"/>
                <w:rFonts w:ascii="Calibri" w:hAnsi="Calibri"/>
              </w:rPr>
              <w:t xml:space="preserve">Data analysis</w:t>
            </w:r>
          </w:p>
        </w:tc>
      </w:tr>
    </w:tbl>
    <w:p>
      <w:pPr>
        <w:jc w:val="center"/>
      </w:pPr>
      <w:r>
        <w:rPr>
          <w:sz w:val="22"/>
          <w:color w:val="000000"/>
          <w:rFonts w:ascii="Calibri" w:hAnsi="Calibri"/>
        </w:rPr>
        <w:t xml:space="preserve"/>
      </w:r>
    </w:p>
    <w:p>
      <w:pPr>
        <w:jc w:val="center"/>
      </w:pPr>
      <w:r>
        <w:rPr>
          <w:sz w:val="20"/>
          <w:color w:val="000000"/>
          <w:rFonts w:ascii="Calibri" w:hAnsi="Calibri"/>
        </w:rPr>
        <w:t xml:space="preserve">• Descriptive analysis</w:t>
      </w:r>
    </w:p>
    <w:p>
      <w:pPr>
        <w:jc w:val="center"/>
      </w:pPr>
      <w:r>
        <w:rPr>
          <w:sz w:val="20"/>
          <w:color w:val="000000"/>
          <w:rFonts w:ascii="Calibri" w:hAnsi="Calibri"/>
        </w:rPr>
        <w:t xml:space="preserve">• Quantitative analysis</w:t>
      </w:r>
    </w:p>
    <w:p>
      <w:pPr>
        <w:jc w:val="center"/>
      </w:pPr>
      <w:r>
        <w:rPr>
          <w:sz w:val="20"/>
          <w:color w:val="000000"/>
          <w:rFonts w:ascii="Calibri" w:hAnsi="Calibri"/>
        </w:rPr>
        <w:t xml:space="preserve">• Statistical analysis</w:t>
      </w:r>
    </w:p>
    <w:p>
      <w:pPr>
        <w:jc w:val="center"/>
      </w:pPr>
      <w:r>
        <w:rPr>
          <w:sz w:val="22"/>
          <w:color w:val="000000"/>
          <w:rFonts w:ascii="Calibri" w:hAnsi="Calibri"/>
        </w:rPr>
        <w:t xml:space="preserve"/>
      </w:r>
    </w:p>
    <w:p>
      <w:pPr>
        <w:jc w:val="center"/>
      </w:pPr>
      <w:r>
        <w:rPr>
          <w:b/>
          <w:sz w:val="28"/>
          <w:color w:val="000000"/>
          <w:rFonts w:ascii="Calibri" w:hAnsi="Calibri"/>
        </w:rPr>
        <w:t xml:space="preserve">↓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</w:tblPr>
      <w:tblGrid>
        <w:gridCol w:w="9000"/>
      </w:tblGrid>
      <w:tr>
        <w:tc>
          <w:tcPr>
            <w:tcW w:w="0" w:type="auto"/>
            <w:shd w:val="clear" w:color="auto" w:fill="66BB6A"/>
            <w:vAlign w:val="center"/>
          </w:tcPr>
          <w:p>
            <w:pPr>
              <w:jc w:val="center"/>
            </w:pPr>
            <w:r>
              <w:rPr>
                <w:b/>
                <w:sz w:val="22"/>
                <w:color w:val="FFFFFF"/>
                <w:rFonts w:ascii="Calibri" w:hAnsi="Calibri"/>
              </w:rPr>
              <w:t xml:space="preserve">Draft report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b/>
                <w:sz w:val="28"/>
                <w:color w:val="000000"/>
                <w:rFonts w:ascii="Calibri" w:hAnsi="Calibri"/>
              </w:rPr>
              <w:t xml:space="preserve">↓</w:t>
            </w:r>
          </w:p>
        </w:tc>
      </w:tr>
      <w:tr>
        <w:tc>
          <w:tcPr>
            <w:tcW w:w="0" w:type="auto"/>
            <w:shd w:val="clear" w:color="auto" w:fill="66BB6A"/>
            <w:vAlign w:val="center"/>
          </w:tcPr>
          <w:p>
            <w:pPr>
              <w:jc w:val="center"/>
            </w:pPr>
            <w:r>
              <w:rPr>
                <w:b/>
                <w:sz w:val="22"/>
                <w:color w:val="FFFFFF"/>
                <w:rFonts w:ascii="Calibri" w:hAnsi="Calibri"/>
              </w:rPr>
              <w:t xml:space="preserve">Final report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  <w:color w:val="FF0000"/>
          <w:rFonts w:ascii="Calibri" w:hAnsi="Calibri"/>
        </w:rPr>
        <w:t xml:space="preserve">DIAGRAM 2: Time Line on Development of Shrimp Aquaculture</w:t>
      </w:r>
    </w:p>
    <w:p>
      <w:pPr>
        <w:jc w:val="center"/>
      </w:pPr>
      <w:r>
        <w:rPr>
          <w:sz w:val="22"/>
          <w:color w:val="000000"/>
          <w:rFonts w:ascii="Calibri" w:hAnsi="Calibri"/>
        </w:rPr>
        <w:t xml:space="preserv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sz w:val="16"/>
                <w:color w:val="000000"/>
                <w:rFonts w:ascii="Calibri" w:hAnsi="Calibri"/>
              </w:rPr>
              <w:t xml:space="preserve"/>
            </w:r>
          </w:p>
        </w:tc>
        <w:tc>
          <w:tcPr>
            <w:tcW w:w="0" w:type="auto"/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sz w:val="16"/>
                <w:color w:val="FFFFFF"/>
                <w:rFonts w:ascii="Calibri" w:hAnsi="Calibri"/>
              </w:rPr>
              <w:t xml:space="preserve">Induced breeding Penaeus indicus basic biological studies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sz w:val="16"/>
                <w:color w:val="000000"/>
                <w:rFonts w:ascii="Calibri" w:hAnsi="Calibri"/>
              </w:rPr>
              <w:t xml:space="preserve"/>
            </w:r>
          </w:p>
        </w:tc>
        <w:tc>
          <w:tcPr>
            <w:tcW w:w="0" w:type="auto"/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sz w:val="16"/>
                <w:color w:val="FFFFFF"/>
                <w:rFonts w:ascii="Calibri" w:hAnsi="Calibri"/>
              </w:rPr>
              <w:t xml:space="preserve">First out break of WSSV in India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sz w:val="16"/>
                <w:color w:val="000000"/>
                <w:rFonts w:ascii="Calibri" w:hAnsi="Calibri"/>
              </w:rPr>
              <w:t xml:space="preserve"/>
            </w:r>
          </w:p>
        </w:tc>
        <w:tc>
          <w:tcPr>
            <w:tcW w:w="0" w:type="auto"/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sz w:val="16"/>
                <w:color w:val="FFFFFF"/>
                <w:rFonts w:ascii="Calibri" w:hAnsi="Calibri"/>
              </w:rPr>
              <w:t xml:space="preserve">Introduction of vannamei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sz w:val="16"/>
                <w:color w:val="000000"/>
                <w:rFonts w:ascii="Calibri" w:hAnsi="Calibri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b/>
                <w:sz w:val="18"/>
                <w:color w:val="FFFFFF"/>
                <w:rFonts w:ascii="Calibri" w:hAnsi="Calibri"/>
              </w:rPr>
              <w:t xml:space="preserve">Before 1970</w:t>
            </w:r>
          </w:p>
        </w:tc>
        <w:tc>
          <w:tcPr>
            <w:tcW w:w="0" w:type="auto"/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b/>
                <w:sz w:val="18"/>
                <w:color w:val="FFFFFF"/>
                <w:rFonts w:ascii="Calibri" w:hAnsi="Calibri"/>
              </w:rPr>
              <w:t xml:space="preserve">1970-1980</w:t>
            </w:r>
          </w:p>
        </w:tc>
        <w:tc>
          <w:tcPr>
            <w:tcW w:w="0" w:type="auto"/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b/>
                <w:sz w:val="18"/>
                <w:color w:val="FFFFFF"/>
                <w:rFonts w:ascii="Calibri" w:hAnsi="Calibri"/>
              </w:rPr>
              <w:t xml:space="preserve">1990-1994</w:t>
            </w:r>
          </w:p>
        </w:tc>
        <w:tc>
          <w:tcPr>
            <w:tcW w:w="0" w:type="auto"/>
            <w:shd w:val="clear" w:color="auto" w:fill="E65100"/>
            <w:vAlign w:val="center"/>
          </w:tcPr>
          <w:p>
            <w:pPr>
              <w:jc w:val="center"/>
            </w:pPr>
            <w:r>
              <w:rPr>
                <w:b/>
                <w:sz w:val="18"/>
                <w:color w:val="FFFFFF"/>
                <w:rFonts w:ascii="Calibri" w:hAnsi="Calibri"/>
              </w:rPr>
              <w:t xml:space="preserve">1994</w:t>
            </w:r>
          </w:p>
        </w:tc>
        <w:tc>
          <w:tcPr>
            <w:tcW w:w="0" w:type="auto"/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b/>
                <w:sz w:val="18"/>
                <w:color w:val="FFFFFF"/>
                <w:rFonts w:ascii="Calibri" w:hAnsi="Calibri"/>
              </w:rPr>
              <w:t xml:space="preserve">1995-2005</w:t>
            </w:r>
          </w:p>
        </w:tc>
        <w:tc>
          <w:tcPr>
            <w:tcW w:w="0" w:type="auto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b/>
                <w:sz w:val="18"/>
                <w:color w:val="FFFFFF"/>
                <w:rFonts w:ascii="Calibri" w:hAnsi="Calibri"/>
              </w:rPr>
              <w:t xml:space="preserve">2008</w:t>
            </w:r>
          </w:p>
        </w:tc>
        <w:tc>
          <w:tcPr>
            <w:tcW w:w="0" w:type="auto"/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b/>
                <w:sz w:val="18"/>
                <w:color w:val="FFFFFF"/>
                <w:rFonts w:ascii="Calibri" w:hAnsi="Calibri"/>
              </w:rPr>
              <w:t xml:space="preserve">2009 Till date</w:t>
            </w:r>
          </w:p>
        </w:tc>
      </w:tr>
      <w:tr>
        <w:tc>
          <w:tcPr>
            <w:tcW w:w="0" w:type="auto"/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sz w:val="16"/>
                <w:color w:val="FFFFFF"/>
                <w:rFonts w:ascii="Calibri" w:hAnsi="Calibri"/>
              </w:rPr>
              <w:t xml:space="preserve">Initial experiment on traditional shrimp farms of Kerala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sz w:val="16"/>
                <w:color w:val="000000"/>
                <w:rFonts w:ascii="Calibri" w:hAnsi="Calibri"/>
              </w:rPr>
              <w:t xml:space="preserve"/>
            </w:r>
          </w:p>
        </w:tc>
        <w:tc>
          <w:tcPr>
            <w:tcW w:w="0" w:type="auto"/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sz w:val="16"/>
                <w:color w:val="FFFFFF"/>
                <w:rFonts w:ascii="Calibri" w:hAnsi="Calibri"/>
              </w:rPr>
              <w:t xml:space="preserve">Boom period of shrimp culture Penaeus monodon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sz w:val="16"/>
                <w:color w:val="000000"/>
                <w:rFonts w:ascii="Calibri" w:hAnsi="Calibri"/>
              </w:rPr>
              <w:t xml:space="preserve"/>
            </w:r>
          </w:p>
        </w:tc>
        <w:tc>
          <w:tcPr>
            <w:tcW w:w="0" w:type="auto"/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sz w:val="16"/>
                <w:color w:val="FFFFFF"/>
                <w:rFonts w:ascii="Calibri" w:hAnsi="Calibri"/>
              </w:rPr>
              <w:t xml:space="preserve">Supreme court verdict for regulation of shrimp farming CAA established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sz w:val="16"/>
                <w:color w:val="000000"/>
                <w:rFonts w:ascii="Calibri" w:hAnsi="Calibri"/>
              </w:rPr>
              <w:t xml:space="preserve"/>
            </w:r>
          </w:p>
        </w:tc>
        <w:tc>
          <w:tcPr>
            <w:tcW w:w="0" w:type="auto"/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sz w:val="16"/>
                <w:color w:val="FFFFFF"/>
                <w:rFonts w:ascii="Calibri" w:hAnsi="Calibri"/>
              </w:rPr>
              <w:t xml:space="preserve">Total farmed shrimp production reached up to 4.2 lakh tones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  <w:color w:val="000000"/>
          <w:rFonts w:ascii="Calibri" w:hAnsi="Calibri"/>
        </w:rPr>
        <w:t xml:space="preserve">DIAGRAM 3: Vannamei Shrimp Life Cycle</w:t>
      </w:r>
    </w:p>
    <w:p>
      <w:pPr>
        <w:jc w:val="center"/>
      </w:pPr>
      <w:r>
        <w:rPr>
          <w:sz w:val="22"/>
          <w:color w:val="000000"/>
          <w:rFonts w:ascii="Calibri" w:hAnsi="Calibri"/>
        </w:rPr>
        <w:t xml:space="preserv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</w:tblPr>
      <w:tblGrid>
        <w:gridCol w:w="3000"/>
        <w:gridCol w:w="3000"/>
        <w:gridCol w:w="3000"/>
      </w:tblGrid>
      <w:tr>
        <w:tc>
          <w:tcPr>
            <w:tcW w:w="0" w:type="auto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b/>
                <w:sz w:val="20"/>
                <w:color w:val="FFFFFF"/>
                <w:rFonts w:ascii="Calibri" w:hAnsi="Calibri"/>
              </w:rPr>
              <w:t xml:space="preserve">Stage</w:t>
            </w:r>
          </w:p>
        </w:tc>
        <w:tc>
          <w:tcPr>
            <w:tcW w:w="0" w:type="auto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b/>
                <w:sz w:val="20"/>
                <w:color w:val="FFFFFF"/>
                <w:rFonts w:ascii="Calibri" w:hAnsi="Calibri"/>
              </w:rPr>
              <w:t xml:space="preserve">Duration</w:t>
            </w:r>
          </w:p>
        </w:tc>
        <w:tc>
          <w:tcPr>
            <w:tcW w:w="0" w:type="auto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b/>
                <w:sz w:val="20"/>
                <w:color w:val="FFFFFF"/>
                <w:rFonts w:ascii="Calibri" w:hAnsi="Calibri"/>
              </w:rPr>
              <w:t xml:space="preserve">Description</w:t>
            </w:r>
          </w:p>
        </w:tc>
      </w:tr>
      <w:tr>
        <w:tc>
          <w:tcPr>
            <w:tcW w:w="0" w:type="auto"/>
            <w:shd w:val="clear" w:color="auto" w:fill="BBDEFB"/>
            <w:vAlign w:val="center"/>
          </w:tcPr>
          <w:p>
            <w:pPr>
              <w:jc w:val="center"/>
            </w:pPr>
            <w:r>
              <w:rPr>
                <w:b/>
                <w:sz w:val="20"/>
                <w:color w:val="000000"/>
                <w:rFonts w:ascii="Calibri" w:hAnsi="Calibri"/>
              </w:rPr>
              <w:t xml:space="preserve">Vannamei Broodstock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sz w:val="20"/>
                <w:color w:val="000000"/>
                <w:rFonts w:ascii="Calibri" w:hAnsi="Calibri"/>
              </w:rPr>
              <w:t xml:space="preserve">--</w:t>
            </w:r>
          </w:p>
        </w:tc>
        <w:tc>
          <w:tcPr>
            <w:tcW w:w="0" w:type="auto"/>
            <w:vAlign w:val="center"/>
          </w:tcPr>
          <w:p>
            <w:pPr>
              <w:jc w:val="left"/>
            </w:pPr>
            <w:r>
              <w:rPr>
                <w:sz w:val="18"/>
                <w:color w:val="000000"/>
                <w:rFonts w:ascii="Calibri" w:hAnsi="Calibri"/>
              </w:rPr>
              <w:t xml:space="preserve">Mature broodstock used for spawning</w:t>
            </w:r>
          </w:p>
        </w:tc>
      </w:tr>
      <w:tr>
        <w:tc>
          <w:tcPr>
            <w:tcW w:w="0" w:type="auto"/>
            <w:shd w:val="clear" w:color="auto" w:fill="BBDEFB"/>
            <w:vAlign w:val="center"/>
          </w:tcPr>
          <w:p>
            <w:pPr>
              <w:jc w:val="center"/>
            </w:pPr>
            <w:r>
              <w:rPr>
                <w:b/>
                <w:sz w:val="20"/>
                <w:color w:val="000000"/>
                <w:rFonts w:ascii="Calibri" w:hAnsi="Calibri"/>
              </w:rPr>
              <w:t xml:space="preserve">Egg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sz w:val="20"/>
                <w:color w:val="000000"/>
                <w:rFonts w:ascii="Calibri" w:hAnsi="Calibri"/>
              </w:rPr>
              <w:t xml:space="preserve">1 day</w:t>
            </w:r>
          </w:p>
        </w:tc>
        <w:tc>
          <w:tcPr>
            <w:tcW w:w="0" w:type="auto"/>
            <w:vAlign w:val="center"/>
          </w:tcPr>
          <w:p>
            <w:pPr>
              <w:jc w:val="left"/>
            </w:pPr>
            <w:r>
              <w:rPr>
                <w:sz w:val="18"/>
                <w:color w:val="000000"/>
                <w:rFonts w:ascii="Calibri" w:hAnsi="Calibri"/>
              </w:rPr>
              <w:t xml:space="preserve">Eggs spawned by broodstock</w:t>
            </w:r>
          </w:p>
        </w:tc>
      </w:tr>
      <w:tr>
        <w:tc>
          <w:tcPr>
            <w:tcW w:w="0" w:type="auto"/>
            <w:shd w:val="clear" w:color="auto" w:fill="BBDEFB"/>
            <w:vAlign w:val="center"/>
          </w:tcPr>
          <w:p>
            <w:pPr>
              <w:jc w:val="center"/>
            </w:pPr>
            <w:r>
              <w:rPr>
                <w:b/>
                <w:sz w:val="20"/>
                <w:color w:val="000000"/>
                <w:rFonts w:ascii="Calibri" w:hAnsi="Calibri"/>
              </w:rPr>
              <w:t xml:space="preserve">Nauplii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sz w:val="20"/>
                <w:color w:val="000000"/>
                <w:rFonts w:ascii="Calibri" w:hAnsi="Calibri"/>
              </w:rPr>
              <w:t xml:space="preserve">1 day</w:t>
            </w:r>
          </w:p>
        </w:tc>
        <w:tc>
          <w:tcPr>
            <w:tcW w:w="0" w:type="auto"/>
            <w:vAlign w:val="center"/>
          </w:tcPr>
          <w:p>
            <w:pPr>
              <w:jc w:val="left"/>
            </w:pPr>
            <w:r>
              <w:rPr>
                <w:sz w:val="18"/>
                <w:color w:val="000000"/>
                <w:rFonts w:ascii="Calibri" w:hAnsi="Calibri"/>
              </w:rPr>
              <w:t xml:space="preserve">First larval stage after hatching</w:t>
            </w:r>
          </w:p>
        </w:tc>
      </w:tr>
      <w:tr>
        <w:tc>
          <w:tcPr>
            <w:tcW w:w="0" w:type="auto"/>
            <w:shd w:val="clear" w:color="auto" w:fill="BBDEFB"/>
            <w:vAlign w:val="center"/>
          </w:tcPr>
          <w:p>
            <w:pPr>
              <w:jc w:val="center"/>
            </w:pPr>
            <w:r>
              <w:rPr>
                <w:b/>
                <w:sz w:val="20"/>
                <w:color w:val="000000"/>
                <w:rFonts w:ascii="Calibri" w:hAnsi="Calibri"/>
              </w:rPr>
              <w:t xml:space="preserve">Zoea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sz w:val="20"/>
                <w:color w:val="000000"/>
                <w:rFonts w:ascii="Calibri" w:hAnsi="Calibri"/>
              </w:rPr>
              <w:t xml:space="preserve">3 days</w:t>
            </w:r>
          </w:p>
        </w:tc>
        <w:tc>
          <w:tcPr>
            <w:tcW w:w="0" w:type="auto"/>
            <w:vAlign w:val="center"/>
          </w:tcPr>
          <w:p>
            <w:pPr>
              <w:jc w:val="left"/>
            </w:pPr>
            <w:r>
              <w:rPr>
                <w:sz w:val="18"/>
                <w:color w:val="000000"/>
                <w:rFonts w:ascii="Calibri" w:hAnsi="Calibri"/>
              </w:rPr>
              <w:t xml:space="preserve">Second larval stage, begins feeding</w:t>
            </w:r>
          </w:p>
        </w:tc>
      </w:tr>
      <w:tr>
        <w:tc>
          <w:tcPr>
            <w:tcW w:w="0" w:type="auto"/>
            <w:shd w:val="clear" w:color="auto" w:fill="BBDEFB"/>
            <w:vAlign w:val="center"/>
          </w:tcPr>
          <w:p>
            <w:pPr>
              <w:jc w:val="center"/>
            </w:pPr>
            <w:r>
              <w:rPr>
                <w:b/>
                <w:sz w:val="20"/>
                <w:color w:val="000000"/>
                <w:rFonts w:ascii="Calibri" w:hAnsi="Calibri"/>
              </w:rPr>
              <w:t xml:space="preserve">Mysis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sz w:val="20"/>
                <w:color w:val="000000"/>
                <w:rFonts w:ascii="Calibri" w:hAnsi="Calibri"/>
              </w:rPr>
              <w:t xml:space="preserve">2 days</w:t>
            </w:r>
          </w:p>
        </w:tc>
        <w:tc>
          <w:tcPr>
            <w:tcW w:w="0" w:type="auto"/>
            <w:vAlign w:val="center"/>
          </w:tcPr>
          <w:p>
            <w:pPr>
              <w:jc w:val="left"/>
            </w:pPr>
            <w:r>
              <w:rPr>
                <w:sz w:val="18"/>
                <w:color w:val="000000"/>
                <w:rFonts w:ascii="Calibri" w:hAnsi="Calibri"/>
              </w:rPr>
              <w:t xml:space="preserve">Third larval stage, resembles adult shrimp</w:t>
            </w:r>
          </w:p>
        </w:tc>
      </w:tr>
      <w:tr>
        <w:tc>
          <w:tcPr>
            <w:tcW w:w="0" w:type="auto"/>
            <w:shd w:val="clear" w:color="auto" w:fill="BBDEFB"/>
            <w:vAlign w:val="center"/>
          </w:tcPr>
          <w:p>
            <w:pPr>
              <w:jc w:val="center"/>
            </w:pPr>
            <w:r>
              <w:rPr>
                <w:b/>
                <w:sz w:val="20"/>
                <w:color w:val="000000"/>
                <w:rFonts w:ascii="Calibri" w:hAnsi="Calibri"/>
              </w:rPr>
              <w:t xml:space="preserve">Post Larvae (PL)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sz w:val="20"/>
                <w:color w:val="000000"/>
                <w:rFonts w:ascii="Calibri" w:hAnsi="Calibri"/>
              </w:rPr>
              <w:t xml:space="preserve">--</w:t>
            </w:r>
          </w:p>
        </w:tc>
        <w:tc>
          <w:tcPr>
            <w:tcW w:w="0" w:type="auto"/>
            <w:vAlign w:val="center"/>
          </w:tcPr>
          <w:p>
            <w:pPr>
              <w:jc w:val="left"/>
            </w:pPr>
            <w:r>
              <w:rPr>
                <w:sz w:val="18"/>
                <w:color w:val="000000"/>
                <w:rFonts w:ascii="Calibri" w:hAnsi="Calibri"/>
              </w:rPr>
              <w:t xml:space="preserve">Transferred to grow-out ponds</w:t>
            </w:r>
          </w:p>
        </w:tc>
      </w:tr>
      <w:tr>
        <w:tc>
          <w:tcPr>
            <w:tcW w:w="0" w:type="auto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b/>
                <w:sz w:val="20"/>
                <w:color w:val="000000"/>
                <w:rFonts w:ascii="Calibri" w:hAnsi="Calibri"/>
              </w:rPr>
              <w:t xml:space="preserve">Grow-out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sz w:val="20"/>
                <w:color w:val="000000"/>
                <w:rFonts w:ascii="Calibri" w:hAnsi="Calibri"/>
              </w:rPr>
              <w:t xml:space="preserve">3 - 3.5 months</w:t>
            </w:r>
          </w:p>
        </w:tc>
        <w:tc>
          <w:tcPr>
            <w:tcW w:w="0" w:type="auto"/>
            <w:vAlign w:val="center"/>
          </w:tcPr>
          <w:p>
            <w:pPr>
              <w:jc w:val="left"/>
            </w:pPr>
            <w:r>
              <w:rPr>
                <w:sz w:val="18"/>
                <w:color w:val="000000"/>
                <w:rFonts w:ascii="Calibri" w:hAnsi="Calibri"/>
              </w:rPr>
              <w:t xml:space="preserve">Feeding: 4 times per day | FCR = 1.34</w:t>
            </w:r>
          </w:p>
        </w:tc>
      </w:tr>
      <w:tr>
        <w:tc>
          <w:tcPr>
            <w:tcW w:w="0" w:type="auto"/>
            <w:shd w:val="clear" w:color="auto" w:fill="FFF9C4"/>
            <w:vAlign w:val="center"/>
          </w:tcPr>
          <w:p>
            <w:pPr>
              <w:jc w:val="center"/>
            </w:pPr>
            <w:r>
              <w:rPr>
                <w:b/>
                <w:sz w:val="20"/>
                <w:color w:val="000000"/>
                <w:rFonts w:ascii="Calibri" w:hAnsi="Calibri"/>
              </w:rPr>
              <w:t xml:space="preserve">Harvest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sz w:val="20"/>
                <w:color w:val="000000"/>
                <w:rFonts w:ascii="Calibri" w:hAnsi="Calibri"/>
              </w:rPr>
              <w:t xml:space="preserve">After 3 - 3.5 months</w:t>
            </w:r>
          </w:p>
        </w:tc>
        <w:tc>
          <w:tcPr>
            <w:tcW w:w="0" w:type="auto"/>
            <w:vAlign w:val="center"/>
          </w:tcPr>
          <w:p>
            <w:pPr>
              <w:jc w:val="left"/>
            </w:pPr>
            <w:r>
              <w:rPr>
                <w:sz w:val="18"/>
                <w:color w:val="000000"/>
                <w:rFonts w:ascii="Calibri" w:hAnsi="Calibri"/>
              </w:rPr>
              <w:t xml:space="preserve">Vannamei shrimp is harvested for market</w:t>
            </w:r>
          </w:p>
        </w:tc>
      </w:tr>
    </w:tbl>
    <w:p>
      <w:pPr>
        <w:jc w:val="center"/>
      </w:pPr>
      <w:r>
        <w:rPr>
          <w:sz w:val="22"/>
          <w:color w:val="000000"/>
          <w:rFonts w:ascii="Calibri" w:hAnsi="Calibri"/>
        </w:rPr>
        <w:t xml:space="preserve"/>
      </w:r>
    </w:p>
    <w:p>
      <w:pPr>
        <w:jc w:val="left"/>
      </w:pPr>
      <w:r>
        <w:rPr>
          <w:b/>
          <w:sz w:val="22"/>
          <w:color w:val="000000"/>
          <w:rFonts w:ascii="Calibri" w:hAnsi="Calibri"/>
        </w:rPr>
        <w:t xml:space="preserve">Life Cycle Flow:</w:t>
      </w:r>
    </w:p>
    <w:p>
      <w:pPr>
        <w:jc w:val="center"/>
      </w:pPr>
      <w:r>
        <w:rPr>
          <w:sz w:val="22"/>
          <w:color w:val="000000"/>
          <w:rFonts w:ascii="Calibri" w:hAnsi="Calibri"/>
        </w:rPr>
        <w:t xml:space="preserve"/>
      </w:r>
    </w:p>
    <w:p>
      <w:pPr>
        <w:jc w:val="center"/>
      </w:pPr>
      <w:r>
        <w:rPr>
          <w:b/>
          <w:sz w:val="20"/>
          <w:color w:val="000000"/>
          <w:rFonts w:ascii="Calibri" w:hAnsi="Calibri"/>
        </w:rPr>
        <w:t xml:space="preserve">Broodstock → Egg (1 day) → Nauplii (1 day) → Zoea (3 days) → Mysis (2 days) → Post Larvae → Grow-out Ponds (3-3.5 months) → Harvest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jc w:val="center"/>
    </w:pPr>
    <w:rPr>
      <w:b/>
      <w:sz w:val="32"/>
      <w:color w:val="1565C0"/>
    </w:rPr>
  </w:style>
  <w:style w:type="paragraph" w:styleId="Heading2">
    <w:name w:val="heading 2"/>
    <w:pPr>
      <w:jc w:val="center"/>
    </w:pPr>
    <w:rPr>
      <w:b/>
      <w:sz w:val="28"/>
      <w:color w:val="2E7D32"/>
    </w:rPr>
  </w:style>
  <w:style w:type="paragraph" w:styleId="Normal">
    <w:name w:val="Normal"/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