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after="240" w:before="240" w:line="24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240" w:before="240" w:line="240" w:lineRule="auto"/>
        <w:ind w:left="144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after="240" w:before="240" w:lineRule="auto"/>
        <w:ind w:right="-14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380" w:line="360" w:lineRule="auto"/>
        <w:ind w:left="2880" w:righ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1380910" cy="1073150"/>
            <wp:effectExtent b="0" l="0" r="0" t="0"/>
            <wp:docPr descr="Untitled 1" id="1" name="image1.jpg"/>
            <a:graphic>
              <a:graphicData uri="http://schemas.openxmlformats.org/drawingml/2006/picture">
                <pic:pic>
                  <pic:nvPicPr>
                    <pic:cNvPr descr="Untitled 1" id="0" name="image1.jpg"/>
                    <pic:cNvPicPr preferRelativeResize="0"/>
                  </pic:nvPicPr>
                  <pic:blipFill>
                    <a:blip r:embed="rId6"/>
                    <a:srcRect b="0" l="0" r="0" t="0"/>
                    <a:stretch>
                      <a:fillRect/>
                    </a:stretch>
                  </pic:blipFill>
                  <pic:spPr>
                    <a:xfrm>
                      <a:off x="0" y="0"/>
                      <a:ext cx="138091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360" w:lineRule="auto"/>
        <w:jc w:val="center"/>
        <w:rPr>
          <w:rFonts w:ascii="Times New Roman" w:cs="Times New Roman" w:eastAsia="Times New Roman" w:hAnsi="Times New Roman"/>
          <w:b w:val="1"/>
          <w:sz w:val="26"/>
          <w:szCs w:val="26"/>
        </w:rPr>
      </w:pPr>
      <w:bookmarkStart w:colFirst="0" w:colLast="0" w:name="_rjg60ibjel62" w:id="0"/>
      <w:bookmarkEnd w:id="0"/>
      <w:r w:rsidDel="00000000" w:rsidR="00000000" w:rsidRPr="00000000">
        <w:rPr>
          <w:rtl w:val="0"/>
        </w:rPr>
      </w:r>
    </w:p>
    <w:p w:rsidR="00000000" w:rsidDel="00000000" w:rsidP="00000000" w:rsidRDefault="00000000" w:rsidRPr="00000000" w14:paraId="00000007">
      <w:pPr>
        <w:spacing w:line="360" w:lineRule="auto"/>
        <w:ind w:left="-1440" w:right="-144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ind w:left="-1440" w:right="-1440" w:firstLine="360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CHƯƠNG 1 - BÀI TẬP 1</w:t>
      </w:r>
    </w:p>
    <w:p w:rsidR="00000000" w:rsidDel="00000000" w:rsidP="00000000" w:rsidRDefault="00000000" w:rsidRPr="00000000" w14:paraId="00000009">
      <w:pPr>
        <w:spacing w:line="360" w:lineRule="auto"/>
        <w:ind w:left="360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    NHÓM 7</w:t>
      </w:r>
      <w:r w:rsidDel="00000000" w:rsidR="00000000" w:rsidRPr="00000000">
        <w:rPr>
          <w:rtl w:val="0"/>
        </w:rPr>
      </w:r>
    </w:p>
    <w:p w:rsidR="00000000" w:rsidDel="00000000" w:rsidP="00000000" w:rsidRDefault="00000000" w:rsidRPr="00000000" w14:paraId="0000000A">
      <w:pPr>
        <w:spacing w:line="360" w:lineRule="auto"/>
        <w:ind w:left="2160" w:righ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 ThS. Nguyễn Thị Anh Thư </w:t>
      </w:r>
    </w:p>
    <w:p w:rsidR="00000000" w:rsidDel="00000000" w:rsidP="00000000" w:rsidRDefault="00000000" w:rsidRPr="00000000" w14:paraId="0000000B">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Nguyễn Thế Tiến Đạt</w:t>
      </w:r>
      <w:r w:rsidDel="00000000" w:rsidR="00000000" w:rsidRPr="00000000">
        <w:rPr>
          <w:rFonts w:ascii="Times New Roman" w:cs="Times New Roman" w:eastAsia="Times New Roman" w:hAnsi="Times New Roman"/>
          <w:b w:val="1"/>
          <w:sz w:val="26"/>
          <w:szCs w:val="26"/>
          <w:rtl w:val="0"/>
        </w:rPr>
        <w:tab/>
        <w:tab/>
        <w:t xml:space="preserve">MSSV: </w:t>
      </w:r>
      <w:r w:rsidDel="00000000" w:rsidR="00000000" w:rsidRPr="00000000">
        <w:rPr>
          <w:rFonts w:ascii="Times New Roman" w:cs="Times New Roman" w:eastAsia="Times New Roman" w:hAnsi="Times New Roman"/>
          <w:sz w:val="26"/>
          <w:szCs w:val="26"/>
          <w:rtl w:val="0"/>
        </w:rPr>
        <w:t xml:space="preserve">22520225</w:t>
      </w:r>
      <w:r w:rsidDel="00000000" w:rsidR="00000000" w:rsidRPr="00000000">
        <w:rPr>
          <w:rtl w:val="0"/>
        </w:rPr>
      </w:r>
    </w:p>
    <w:p w:rsidR="00000000" w:rsidDel="00000000" w:rsidP="00000000" w:rsidRDefault="00000000" w:rsidRPr="00000000" w14:paraId="0000000D">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Vũ Quang Huy</w:t>
      </w:r>
      <w:r w:rsidDel="00000000" w:rsidR="00000000" w:rsidRPr="00000000">
        <w:rPr>
          <w:rFonts w:ascii="Times New Roman" w:cs="Times New Roman" w:eastAsia="Times New Roman" w:hAnsi="Times New Roman"/>
          <w:b w:val="1"/>
          <w:sz w:val="26"/>
          <w:szCs w:val="26"/>
          <w:rtl w:val="0"/>
        </w:rPr>
        <w:tab/>
        <w:tab/>
        <w:tab/>
        <w:t xml:space="preserve">MSSV: </w:t>
      </w:r>
      <w:r w:rsidDel="00000000" w:rsidR="00000000" w:rsidRPr="00000000">
        <w:rPr>
          <w:rFonts w:ascii="Times New Roman" w:cs="Times New Roman" w:eastAsia="Times New Roman" w:hAnsi="Times New Roman"/>
          <w:sz w:val="26"/>
          <w:szCs w:val="26"/>
          <w:rtl w:val="0"/>
        </w:rPr>
        <w:t xml:space="preserve">22520587</w:t>
      </w:r>
      <w:r w:rsidDel="00000000" w:rsidR="00000000" w:rsidRPr="00000000">
        <w:rPr>
          <w:rtl w:val="0"/>
        </w:rPr>
      </w:r>
    </w:p>
    <w:p w:rsidR="00000000" w:rsidDel="00000000" w:rsidP="00000000" w:rsidRDefault="00000000" w:rsidRPr="00000000" w14:paraId="0000000E">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Võ Nhất Phương</w:t>
        <w:tab/>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22521172</w:t>
      </w:r>
      <w:r w:rsidDel="00000000" w:rsidR="00000000" w:rsidRPr="00000000">
        <w:rPr>
          <w:rtl w:val="0"/>
        </w:rPr>
      </w:r>
    </w:p>
    <w:p w:rsidR="00000000" w:rsidDel="00000000" w:rsidP="00000000" w:rsidRDefault="00000000" w:rsidRPr="00000000" w14:paraId="0000000F">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Lê Nguyễn Thùy Dương</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22520298</w:t>
      </w:r>
      <w:r w:rsidDel="00000000" w:rsidR="00000000" w:rsidRPr="00000000">
        <w:rPr>
          <w:rtl w:val="0"/>
        </w:rPr>
      </w:r>
    </w:p>
    <w:p w:rsidR="00000000" w:rsidDel="00000000" w:rsidP="00000000" w:rsidRDefault="00000000" w:rsidRPr="00000000" w14:paraId="00000010">
      <w:pPr>
        <w:spacing w:after="240" w:before="240" w:line="360" w:lineRule="auto"/>
        <w:ind w:left="1440" w:righ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Đoàn Ngọc Thanh Sơn</w:t>
        <w:tab/>
        <w:tab/>
      </w:r>
      <w:r w:rsidDel="00000000" w:rsidR="00000000" w:rsidRPr="00000000">
        <w:rPr>
          <w:rFonts w:ascii="Times New Roman" w:cs="Times New Roman" w:eastAsia="Times New Roman" w:hAnsi="Times New Roman"/>
          <w:b w:val="1"/>
          <w:sz w:val="26"/>
          <w:szCs w:val="26"/>
          <w:rtl w:val="0"/>
        </w:rPr>
        <w:t xml:space="preserve">MSSV: </w:t>
      </w:r>
      <w:r w:rsidDel="00000000" w:rsidR="00000000" w:rsidRPr="00000000">
        <w:rPr>
          <w:rFonts w:ascii="Times New Roman" w:cs="Times New Roman" w:eastAsia="Times New Roman" w:hAnsi="Times New Roman"/>
          <w:sz w:val="26"/>
          <w:szCs w:val="26"/>
          <w:rtl w:val="0"/>
        </w:rPr>
        <w:t xml:space="preserve">21521385</w:t>
      </w:r>
      <w:r w:rsidDel="00000000" w:rsidR="00000000" w:rsidRPr="00000000">
        <w:rPr>
          <w:rtl w:val="0"/>
        </w:rPr>
      </w:r>
    </w:p>
    <w:p w:rsidR="00000000" w:rsidDel="00000000" w:rsidP="00000000" w:rsidRDefault="00000000" w:rsidRPr="00000000" w14:paraId="00000011">
      <w:pPr>
        <w:spacing w:after="240" w:before="240" w:line="360" w:lineRule="auto"/>
        <w:ind w:right="-14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hd w:fill="ffffff" w:val="clear"/>
        <w:spacing w:before="160" w:line="360" w:lineRule="auto"/>
        <w:ind w:left="2160" w:right="-144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Tp. Hồ Chí Minh, 02/2024</w:t>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BIÊN BẢN BÁO CÁO</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GIỚI THIỆU CSVC-CSHT CỦA THƯ VIỆN QUỐC GIA VIỆT VN</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NỘI DUNG THẢO LUẬN</w:t>
      </w:r>
      <w:r w:rsidDel="00000000" w:rsidR="00000000" w:rsidRPr="00000000">
        <w:rPr>
          <w:rFonts w:ascii="Times New Roman" w:cs="Times New Roman" w:eastAsia="Times New Roman" w:hAnsi="Times New Roman"/>
          <w:sz w:val="28"/>
          <w:szCs w:val="28"/>
          <w:rtl w:val="0"/>
        </w:rPr>
        <w:t xml:space="preserve">: Phân tích thành phần cấu tạo nên cơ sở hạ tầng CNTT của thư viện</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Cứng:</w:t>
      </w:r>
    </w:p>
    <w:p w:rsidR="00000000" w:rsidDel="00000000" w:rsidP="00000000" w:rsidRDefault="00000000" w:rsidRPr="00000000" w14:paraId="00000019">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máy tính:</w:t>
      </w:r>
    </w:p>
    <w:p w:rsidR="00000000" w:rsidDel="00000000" w:rsidP="00000000" w:rsidRDefault="00000000" w:rsidRPr="00000000" w14:paraId="0000001A">
      <w:pPr>
        <w:numPr>
          <w:ilvl w:val="0"/>
          <w:numId w:val="7"/>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máy trạm: Tổng số hơn 200 máy trạm phục vụ xử lý tài liệu, số hoá và phục vụ người sử dụng: Máy trạm thường có nhiều CPU, bộ nhớ RAM lớn, ổ cứng dung lượng cao và các card đồ họa mạnh mẽ để xử lý các tác vụ phức tạp. Ngoài ra, máy trạm còn được trang bị nhiều cổng kết nối để đáp ứng nhu cầu của các chuyên gia công nghệ thông tin và thiết kế.</w:t>
      </w:r>
    </w:p>
    <w:p w:rsidR="00000000" w:rsidDel="00000000" w:rsidP="00000000" w:rsidRDefault="00000000" w:rsidRPr="00000000" w14:paraId="0000001B">
      <w:pPr>
        <w:numPr>
          <w:ilvl w:val="0"/>
          <w:numId w:val="7"/>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máy chủ: Với các các máy chủ chức năng phục vụ: quản trị mạng, thư viện điện tử tích hợp, thư viện số, phổ biến các bộ sưu tập số, lưu trữ dữ liệu, website… gồm: mainboard server, CPU server, RAM server, Chassis server, Storage server</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Trang thiết bị số hoá: </w:t>
      </w:r>
    </w:p>
    <w:p w:rsidR="00000000" w:rsidDel="00000000" w:rsidP="00000000" w:rsidRDefault="00000000" w:rsidRPr="00000000" w14:paraId="0000001D">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scanner tự động khổ A2 (A2x2).</w:t>
      </w:r>
    </w:p>
    <w:p w:rsidR="00000000" w:rsidDel="00000000" w:rsidP="00000000" w:rsidRDefault="00000000" w:rsidRPr="00000000" w14:paraId="0000001E">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scanner bán tự động khổ A0.</w:t>
      </w:r>
    </w:p>
    <w:p w:rsidR="00000000" w:rsidDel="00000000" w:rsidP="00000000" w:rsidRDefault="00000000" w:rsidRPr="00000000" w14:paraId="0000001F">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scan Microfilm (có thể chuyển dạng được cả microfilm và microfiche).</w:t>
      </w:r>
    </w:p>
    <w:p w:rsidR="00000000" w:rsidDel="00000000" w:rsidP="00000000" w:rsidRDefault="00000000" w:rsidRPr="00000000" w14:paraId="00000020">
      <w:pPr>
        <w:numPr>
          <w:ilvl w:val="0"/>
          <w:numId w:val="1"/>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scan dạng phẳng (flatbed) khổ A3.</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Mượn – trả tự động: </w:t>
      </w:r>
    </w:p>
    <w:p w:rsidR="00000000" w:rsidDel="00000000" w:rsidP="00000000" w:rsidRDefault="00000000" w:rsidRPr="00000000" w14:paraId="00000022">
      <w:pPr>
        <w:numPr>
          <w:ilvl w:val="0"/>
          <w:numId w:val="3"/>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02 trạm tự phục vụ: Chứa một đầu đọc mã vạch, đầu đọc thẻ Mifare hoặc đầu đọc RFID để nhận dạng người dùng, một đầu đọc RFID để kiểm tra quá trình mượn/trả và một màn hình cảm ứng tương tác người dùng.</w:t>
      </w:r>
    </w:p>
    <w:p w:rsidR="00000000" w:rsidDel="00000000" w:rsidP="00000000" w:rsidRDefault="00000000" w:rsidRPr="00000000" w14:paraId="00000023">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Trạm lập trình: Trạm lập trình thư viện thường cần một số công cụ và tài nguyên đặc biệt để hỗ trợ quy trình phát triển, quản lý phiên bản và phân phối. Gồm: Máy tính hoặc máy chủ với Hệ điều hành; Môi trường phát triển tích hợp (IDE); Hệ thống quản lý phiên bản; Thư viện và Frameworks;...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w:t>
      </w:r>
    </w:p>
    <w:p w:rsidR="00000000" w:rsidDel="00000000" w:rsidP="00000000" w:rsidRDefault="00000000" w:rsidRPr="00000000" w14:paraId="00000025">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Thư viện điện tử tích hợp ILIB (phiên bản 4.0):iLib.Me tự động hóa hoàn toàn các chức năng và quy trình nghiệp vụ trong của thư viện. Nó là công cụ hiệu quả để xây dựng các cơ sở dữ liệu thư mục, dữ liệu số. Hỗ trợ thư viện trao đổi dữ liệu, với các thư viện trong và ngoài hệ thống thư viện Việt Nam, thư viện Quốc tế. Khai thác các dữ liệu trực tuyến, tái sử dụng các kết quả xử lý tài liệu. Hỗ trợ các dịch vụ mượn liên thư viện.</w:t>
      </w:r>
    </w:p>
    <w:p w:rsidR="00000000" w:rsidDel="00000000" w:rsidP="00000000" w:rsidRDefault="00000000" w:rsidRPr="00000000" w14:paraId="00000026">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Thư viện số Veridian: Là một nền tảng phần mềm được thiết kế để quản lý và truy cập các bộ sưu tập số hóa. Nó cho phép các thư viện, viện lưu trữ số hóa và cung cấp truy cập trực tuyến đến các tài liệu, bản thảo, báo, tạp chí,... Veridian được thiết kế để tối ưu hóa trải nghiệm người dùng, hỗ trợ việc tìm kiếm và duyệt các bộ sưu tập số hóa một cách dễ dàng</w:t>
      </w:r>
    </w:p>
    <w:p w:rsidR="00000000" w:rsidDel="00000000" w:rsidP="00000000" w:rsidRDefault="00000000" w:rsidRPr="00000000" w14:paraId="00000027">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xử lý tài liệu số docWorks: Hệ thống xử lý tài liệu số DocWorks là một công cụ phần mềm được thiết kế để quản lý và xử lý tài liệu số. Nó có thể hỗ trợ trong việc quản lý, lưu trữ, tìm kiếm và xử lý các tài liệu điện tử trong một tổ chức hoặc doanh nghiệp, quản lý tài liệu, tìm kiếm truy xuất thông tin, xử lý tài liệu, bảo mật thông tin, tích hợp hệ thống, giao diện người dùng, tính linh hoạt và mở rộng.</w:t>
      </w:r>
    </w:p>
    <w:p w:rsidR="00000000" w:rsidDel="00000000" w:rsidP="00000000" w:rsidRDefault="00000000" w:rsidRPr="00000000" w14:paraId="00000028">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quản trị đĩa CD/DVD: Imation Disc Stakka, là hệ thống chứa, bảo quản và quản lý CD/DVD. Chỉ với một PC, một kết nối USB duy nhất, người sử dụng có thể cất, bảo quản và quản lý từ hàng trăm tới hàng chục ngàn CD/DVD. Phần mềm quản trị đi kèm cho phép ghi nhớ nội dung của toàn bộ đĩa và cho phép tìm kiếm và lấy ra chính xác CD/DVD cần tìm một cách nhanh chóng.</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Nguyên Mạng:</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Internet: </w:t>
      </w:r>
    </w:p>
    <w:p w:rsidR="00000000" w:rsidDel="00000000" w:rsidP="00000000" w:rsidRDefault="00000000" w:rsidRPr="00000000" w14:paraId="0000002B">
      <w:pPr>
        <w:numPr>
          <w:ilvl w:val="0"/>
          <w:numId w:val="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Đường truyền kênh riêng (Leased-line) với tốc độ cao, băng thông lớn phục vụ các dịch vụ trực tuyến của thư viện như: CSDL thư mục, các bộ sưu tập số trực tuyến, website, mail nội bộ… và phục vụ truy cập Internet của người sử dụng, cán bộ thư viện.</w:t>
      </w:r>
    </w:p>
    <w:p w:rsidR="00000000" w:rsidDel="00000000" w:rsidP="00000000" w:rsidRDefault="00000000" w:rsidRPr="00000000" w14:paraId="0000002C">
      <w:pPr>
        <w:numPr>
          <w:ilvl w:val="0"/>
          <w:numId w:val="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Wifi được cung cấp rộng rãi, miễn phí tại tất cả các phòng phục vụ.</w:t>
      </w:r>
    </w:p>
    <w:p w:rsidR="00000000" w:rsidDel="00000000" w:rsidP="00000000" w:rsidRDefault="00000000" w:rsidRPr="00000000" w14:paraId="0000002D">
      <w:pPr>
        <w:numPr>
          <w:ilvl w:val="0"/>
          <w:numId w:val="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Mạng LAN: TVQG có hạ tầng mạng LAN hoàn chỉnh, kết nối giữa các tòa nhà bằng hệ thống cáp quang, đường dây mạng đến tất cả các phòng trong thư viện.</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và bảo mật:</w:t>
      </w:r>
    </w:p>
    <w:p w:rsidR="00000000" w:rsidDel="00000000" w:rsidP="00000000" w:rsidRDefault="00000000" w:rsidRPr="00000000" w14:paraId="0000002F">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máy chủ: Bao gồm quản trị mạng và các dịch vụ liên quan đến thư viện điện tử và thư viện số.</w:t>
      </w:r>
    </w:p>
    <w:p w:rsidR="00000000" w:rsidDel="00000000" w:rsidP="00000000" w:rsidRDefault="00000000" w:rsidRPr="00000000" w14:paraId="00000030">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thiết bị bảo vệ, kiểm soát: Bao gồm camera, cổng từ... </w:t>
      </w:r>
    </w:p>
    <w:p w:rsidR="00000000" w:rsidDel="00000000" w:rsidP="00000000" w:rsidRDefault="00000000" w:rsidRPr="00000000" w14:paraId="00000031">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Mượn – trả tự động:</w:t>
      </w:r>
    </w:p>
    <w:p w:rsidR="00000000" w:rsidDel="00000000" w:rsidP="00000000" w:rsidRDefault="00000000" w:rsidRPr="00000000" w14:paraId="00000032">
      <w:pPr>
        <w:numPr>
          <w:ilvl w:val="0"/>
          <w:numId w:val="10"/>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02 Hệ thống an ninh, an toàn tài liệu:  Có thể bao gồm cổng từ, máy dò RFID hoặc các thiết bị an ninh khác để bảo vệ tài liệu không bị mất mát hoặc hư hại. </w:t>
      </w:r>
    </w:p>
    <w:p w:rsidR="00000000" w:rsidDel="00000000" w:rsidP="00000000" w:rsidRDefault="00000000" w:rsidRPr="00000000" w14:paraId="00000033">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kiểm kê tài liệu: Bao gồm thiết bị kiểm kê cầm tay, thiết bị xử lý dữ liệu chạy trên nền Android, phần mềm kiểm kê, pin và sạc</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