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114CD">
      <w:pPr>
        <w:widowControl/>
        <w:spacing w:line="354" w:lineRule="exact"/>
        <w:ind w:left="5620"/>
        <w:jc w:val="left"/>
        <w:rPr>
          <w:rFonts w:ascii="仿宋_GB2312" w:hAnsi="Calibri" w:eastAsia="仿宋_GB2312" w:cs="仿宋_GB2312"/>
          <w:kern w:val="0"/>
          <w:sz w:val="32"/>
          <w:szCs w:val="32"/>
        </w:rPr>
      </w:pPr>
    </w:p>
    <w:p w14:paraId="289C87B3">
      <w:pPr>
        <w:jc w:val="center"/>
        <w:rPr>
          <w:rFonts w:hint="eastAsia" w:ascii="方正小标宋简体" w:hAnsi="方正小标宋简体" w:eastAsia="方正小标宋简体" w:cs="方正小标宋简体"/>
          <w:sz w:val="44"/>
          <w:szCs w:val="44"/>
        </w:rPr>
      </w:pPr>
    </w:p>
    <w:p w14:paraId="14D194D4">
      <w:pPr>
        <w:jc w:val="center"/>
        <w:rPr>
          <w:rFonts w:hint="eastAsia" w:ascii="方正小标宋简体" w:hAnsi="方正小标宋简体" w:eastAsia="方正小标宋简体" w:cs="方正小标宋简体"/>
          <w:sz w:val="44"/>
          <w:szCs w:val="44"/>
        </w:rPr>
      </w:pPr>
      <w:r>
        <w:rPr>
          <w:rFonts w:ascii="华文小楷简行" w:hAnsi="华文小楷简行" w:eastAsia="华文小楷简行"/>
          <w:b w:val="0"/>
          <w:sz w:val="44"/>
        </w:rPr>
        <w:t>东莞市青少年科技创新大赛</w:t>
      </w:r>
    </w:p>
    <w:p w14:paraId="74F3A265">
      <w:pPr>
        <w:jc w:val="center"/>
        <w:rPr>
          <w:rFonts w:hint="eastAsia" w:ascii="仿宋" w:hAnsi="仿宋" w:eastAsia="仿宋" w:cs="仿宋"/>
          <w:sz w:val="32"/>
          <w:szCs w:val="32"/>
        </w:rPr>
      </w:pPr>
      <w:r>
        <w:rPr>
          <w:rFonts w:ascii="华文小楷简行" w:hAnsi="华文小楷简行" w:eastAsia="华文小楷简行"/>
          <w:b w:val="0"/>
          <w:sz w:val="44"/>
        </w:rPr>
        <w:t xml:space="preserve">项目查新报告 </w:t>
      </w:r>
    </w:p>
    <w:p w14:paraId="2CD75469">
      <w:pPr>
        <w:keepNext w:val="0"/>
        <w:keepLines w:val="0"/>
        <w:widowControl/>
        <w:suppressLineNumbers w:val="0"/>
        <w:ind w:left="420" w:leftChars="0" w:firstLine="420" w:firstLineChars="0"/>
        <w:jc w:val="left"/>
        <w:rPr>
          <w:rFonts w:hint="eastAsia" w:ascii="仿宋" w:hAnsi="仿宋" w:eastAsia="仿宋" w:cs="仿宋"/>
          <w:sz w:val="32"/>
          <w:szCs w:val="32"/>
        </w:rPr>
      </w:pPr>
      <w:r>
        <w:rPr>
          <w:rFonts w:ascii="黑体" w:hAnsi="黑体" w:eastAsia="黑体"/>
          <w:b w:val="0"/>
          <w:sz w:val="32"/>
        </w:rPr>
        <w:t>项目名称：</w:t>
      </w:r>
      <w:r>
        <w:rPr>
          <w:rFonts w:ascii="黑体" w:hAnsi="黑体" w:eastAsia="黑体"/>
          <w:b w:val="0"/>
          <w:sz w:val="32"/>
        </w:rPr>
        <w:t>小鳌带路——基于K230视觉终端的粤地非遗书院AI导览装置</w:t>
      </w:r>
    </w:p>
    <w:p w14:paraId="4C677533">
      <w:pPr>
        <w:ind w:left="420" w:firstLine="420"/>
        <w:rPr>
          <w:rFonts w:hint="eastAsia" w:ascii="仿宋" w:hAnsi="仿宋" w:eastAsia="仿宋" w:cs="仿宋"/>
          <w:sz w:val="32"/>
          <w:szCs w:val="32"/>
        </w:rPr>
      </w:pPr>
    </w:p>
    <w:p w14:paraId="5EF6CC69">
      <w:pPr>
        <w:ind w:left="420" w:firstLine="420"/>
        <w:rPr>
          <w:rFonts w:hint="eastAsia" w:ascii="仿宋" w:hAnsi="仿宋" w:eastAsia="仿宋" w:cs="仿宋"/>
          <w:sz w:val="32"/>
          <w:szCs w:val="32"/>
        </w:rPr>
      </w:pPr>
      <w:r>
        <w:rPr>
          <w:rFonts w:ascii="黑体" w:hAnsi="黑体" w:eastAsia="黑体"/>
          <w:b w:val="0"/>
          <w:sz w:val="32"/>
        </w:rPr>
        <w:t xml:space="preserve">查新完成日期：2026年10月25日　</w:t>
      </w:r>
    </w:p>
    <w:p w14:paraId="323947FD">
      <w:pPr>
        <w:ind w:left="420" w:firstLine="420"/>
        <w:rPr>
          <w:rFonts w:hint="eastAsia" w:ascii="仿宋" w:hAnsi="仿宋" w:eastAsia="仿宋" w:cs="仿宋"/>
          <w:sz w:val="32"/>
          <w:szCs w:val="32"/>
        </w:rPr>
      </w:pPr>
    </w:p>
    <w:p w14:paraId="079D5505">
      <w:pPr>
        <w:rPr>
          <w:rFonts w:hint="eastAsia" w:ascii="黑体" w:hAnsi="黑体" w:eastAsia="黑体" w:cs="黑体"/>
          <w:sz w:val="32"/>
        </w:rPr>
      </w:pPr>
    </w:p>
    <w:p w14:paraId="2377F448">
      <w:pPr>
        <w:rPr>
          <w:rFonts w:hint="eastAsia" w:ascii="黑体" w:hAnsi="黑体" w:eastAsia="黑体" w:cs="黑体"/>
          <w:sz w:val="32"/>
        </w:rPr>
      </w:pPr>
    </w:p>
    <w:p w14:paraId="4FCD1808">
      <w:pPr>
        <w:rPr>
          <w:rFonts w:hint="eastAsia" w:ascii="黑体" w:hAnsi="黑体" w:eastAsia="黑体" w:cs="黑体"/>
          <w:sz w:val="32"/>
        </w:rPr>
      </w:pPr>
    </w:p>
    <w:p w14:paraId="03A6175F">
      <w:pPr>
        <w:rPr>
          <w:rFonts w:hint="eastAsia" w:ascii="黑体" w:hAnsi="黑体" w:eastAsia="黑体" w:cs="黑体"/>
          <w:sz w:val="32"/>
        </w:rPr>
      </w:pPr>
    </w:p>
    <w:p w14:paraId="3DB60A59">
      <w:pPr>
        <w:rPr>
          <w:rFonts w:hint="eastAsia" w:ascii="黑体" w:hAnsi="黑体" w:eastAsia="黑体" w:cs="黑体"/>
          <w:sz w:val="32"/>
        </w:rPr>
      </w:pPr>
    </w:p>
    <w:p w14:paraId="4461526B">
      <w:pPr>
        <w:rPr>
          <w:rFonts w:hint="eastAsia" w:ascii="黑体" w:hAnsi="黑体" w:eastAsia="黑体" w:cs="黑体"/>
          <w:sz w:val="32"/>
        </w:rPr>
      </w:pPr>
    </w:p>
    <w:p w14:paraId="4BB7A06B">
      <w:pPr>
        <w:rPr>
          <w:rFonts w:hint="eastAsia" w:ascii="黑体" w:hAnsi="黑体" w:eastAsia="黑体" w:cs="黑体"/>
          <w:sz w:val="32"/>
        </w:rPr>
      </w:pPr>
    </w:p>
    <w:p w14:paraId="05D9B58E">
      <w:pPr>
        <w:rPr>
          <w:rFonts w:hint="eastAsia" w:ascii="黑体" w:hAnsi="黑体" w:eastAsia="黑体" w:cs="黑体"/>
          <w:sz w:val="32"/>
        </w:rPr>
      </w:pPr>
    </w:p>
    <w:p w14:paraId="06474E8D">
      <w:pPr>
        <w:rPr>
          <w:rFonts w:hint="eastAsia" w:ascii="黑体" w:hAnsi="黑体" w:eastAsia="黑体" w:cs="黑体"/>
          <w:sz w:val="32"/>
        </w:rPr>
      </w:pPr>
    </w:p>
    <w:p w14:paraId="4A3267AC">
      <w:pPr>
        <w:rPr>
          <w:rFonts w:hint="eastAsia" w:ascii="黑体" w:hAnsi="黑体" w:eastAsia="黑体" w:cs="黑体"/>
          <w:sz w:val="32"/>
        </w:rPr>
      </w:pPr>
    </w:p>
    <w:p w14:paraId="4C6324D7">
      <w:pPr>
        <w:rPr>
          <w:rFonts w:hint="eastAsia" w:ascii="黑体" w:hAnsi="黑体" w:eastAsia="黑体" w:cs="黑体"/>
          <w:sz w:val="32"/>
        </w:rPr>
      </w:pPr>
    </w:p>
    <w:p w14:paraId="0EDA554A">
      <w:pPr>
        <w:rPr>
          <w:rFonts w:hint="eastAsia" w:ascii="黑体" w:hAnsi="黑体" w:eastAsia="黑体" w:cs="黑体"/>
          <w:sz w:val="32"/>
          <w:lang w:val="en-US" w:eastAsia="zh-CN"/>
        </w:rPr>
      </w:pPr>
    </w:p>
    <w:p w14:paraId="03110EAB">
      <w:pPr>
        <w:jc w:val="center"/>
        <w:rPr>
          <w:rFonts w:hint="eastAsia" w:ascii="黑体" w:hAnsi="宋体" w:eastAsia="黑体"/>
          <w:sz w:val="30"/>
        </w:rPr>
      </w:pPr>
      <w:r>
        <w:rPr>
          <w:rFonts w:ascii="黑体" w:hAnsi="黑体" w:eastAsia="黑体"/>
          <w:b w:val="0"/>
          <w:sz w:val="32"/>
        </w:rPr>
        <w:t>东莞市青少年科技创新大赛组织委员会</w:t>
      </w:r>
    </w:p>
    <w:p w14:paraId="37AF49C4">
      <w:pPr>
        <w:spacing w:line="360" w:lineRule="exact"/>
        <w:jc w:val="center"/>
        <w:rPr>
          <w:rFonts w:hint="eastAsia" w:ascii="黑体" w:hAnsi="宋体" w:eastAsia="黑体"/>
          <w:sz w:val="30"/>
        </w:rPr>
      </w:pPr>
    </w:p>
    <w:p w14:paraId="1AF20F93">
      <w:pPr>
        <w:spacing w:line="360" w:lineRule="exact"/>
        <w:jc w:val="center"/>
        <w:rPr>
          <w:rFonts w:hint="eastAsia" w:ascii="黑体" w:hAnsi="宋体" w:eastAsia="黑体"/>
          <w:sz w:val="30"/>
        </w:rPr>
      </w:pPr>
      <w:r>
        <w:rPr>
          <w:rFonts w:hint="eastAsia" w:ascii="黑体" w:hAnsi="宋体" w:eastAsia="黑体"/>
          <w:sz w:val="30"/>
        </w:rPr>
        <w:t>填写说明</w:t>
      </w:r>
    </w:p>
    <w:p w14:paraId="04C8D3EA">
      <w:pPr>
        <w:spacing w:before="60" w:line="360" w:lineRule="exact"/>
        <w:ind w:firstLine="425"/>
        <w:rPr>
          <w:b/>
          <w:bCs/>
        </w:rPr>
      </w:pPr>
      <w:r>
        <w:rPr>
          <w:rFonts w:hint="eastAsia"/>
          <w:b/>
          <w:bCs/>
        </w:rPr>
        <w:t>一、查新报告</w:t>
      </w:r>
    </w:p>
    <w:p w14:paraId="3C0F6E99">
      <w:pPr>
        <w:spacing w:before="60" w:line="360" w:lineRule="exact"/>
        <w:ind w:firstLine="425"/>
      </w:pPr>
      <w:r>
        <w:rPr>
          <w:rFonts w:hint="eastAsia"/>
        </w:rPr>
        <w:t>　　查新报告是查新者用书面形式就查新情况及其结论所做的正式陈述。</w:t>
      </w:r>
    </w:p>
    <w:p w14:paraId="149A08A8">
      <w:pPr>
        <w:spacing w:before="60" w:line="360" w:lineRule="exact"/>
        <w:ind w:firstLine="425"/>
        <w:rPr>
          <w:b/>
          <w:bCs/>
        </w:rPr>
      </w:pPr>
      <w:r>
        <w:rPr>
          <w:rFonts w:hint="eastAsia"/>
          <w:b/>
          <w:bCs/>
        </w:rPr>
        <w:t>二、查新报告格式说明</w:t>
      </w:r>
    </w:p>
    <w:p w14:paraId="6C51C44B">
      <w:pPr>
        <w:spacing w:line="360" w:lineRule="exact"/>
        <w:ind w:firstLine="425"/>
      </w:pPr>
      <w:r>
        <w:rPr>
          <w:rFonts w:hint="eastAsia"/>
        </w:rPr>
        <w:t>本报告采用A4纸，每栏的大小，可随内容调整。</w:t>
      </w:r>
    </w:p>
    <w:p w14:paraId="2D17A05A">
      <w:pPr>
        <w:spacing w:before="60" w:line="360" w:lineRule="exact"/>
        <w:ind w:firstLine="425"/>
        <w:rPr>
          <w:b/>
          <w:bCs/>
        </w:rPr>
      </w:pPr>
      <w:r>
        <w:rPr>
          <w:rFonts w:hint="eastAsia"/>
          <w:b/>
          <w:bCs/>
        </w:rPr>
        <w:t>三、报告内容应当打印；签字使用钢笔或者中性笔。</w:t>
      </w:r>
    </w:p>
    <w:p w14:paraId="5ED9AA22">
      <w:pPr>
        <w:spacing w:before="60" w:line="360" w:lineRule="exact"/>
        <w:ind w:firstLine="425"/>
        <w:rPr>
          <w:b/>
          <w:bCs/>
        </w:rPr>
      </w:pPr>
      <w:r>
        <w:rPr>
          <w:rFonts w:hint="eastAsia"/>
          <w:b/>
          <w:bCs/>
        </w:rPr>
        <w:t>四、查新点与查新要求</w:t>
      </w:r>
    </w:p>
    <w:p w14:paraId="7A0C54F5">
      <w:pPr>
        <w:spacing w:before="60" w:line="360" w:lineRule="exact"/>
        <w:ind w:firstLine="582" w:firstLineChars="277"/>
      </w:pPr>
      <w:r>
        <w:rPr>
          <w:rFonts w:hint="eastAsia"/>
          <w:b/>
          <w:bCs/>
        </w:rPr>
        <w:t>查新点：</w:t>
      </w:r>
      <w:r>
        <w:rPr>
          <w:rFonts w:hint="eastAsia"/>
        </w:rPr>
        <w:t>是指需要查证的内容要点。</w:t>
      </w:r>
    </w:p>
    <w:p w14:paraId="75B4EE99">
      <w:pPr>
        <w:spacing w:before="60" w:line="360" w:lineRule="exact"/>
        <w:ind w:firstLine="582" w:firstLineChars="277"/>
      </w:pPr>
      <w:r>
        <w:rPr>
          <w:rFonts w:hint="eastAsia"/>
          <w:b/>
          <w:bCs/>
        </w:rPr>
        <w:t>查新要求：</w:t>
      </w:r>
      <w:r>
        <w:rPr>
          <w:rFonts w:hint="eastAsia"/>
        </w:rPr>
        <w:t>（1）通过查新，证明在所查范围内有无相同或类似研究；（2）对查新项目分别或综合进行对比分析；（3）对查新项目的新颖性做出判断。</w:t>
      </w:r>
    </w:p>
    <w:p w14:paraId="38CF53BB">
      <w:pPr>
        <w:spacing w:before="60" w:line="360" w:lineRule="exact"/>
        <w:ind w:firstLine="425"/>
        <w:rPr>
          <w:b/>
          <w:bCs/>
        </w:rPr>
      </w:pPr>
      <w:r>
        <w:rPr>
          <w:rFonts w:hint="eastAsia"/>
          <w:b/>
          <w:bCs/>
        </w:rPr>
        <w:t>五、文献检索范围及检索策略</w:t>
      </w:r>
    </w:p>
    <w:p w14:paraId="476CB149">
      <w:pPr>
        <w:pStyle w:val="4"/>
        <w:spacing w:line="360" w:lineRule="exact"/>
        <w:ind w:firstLine="425"/>
      </w:pPr>
      <w:r>
        <w:rPr>
          <w:rFonts w:hint="eastAsia"/>
        </w:rPr>
        <w:t>应当列出对查新项目进行分析后所确定的手工检索的工具书、年限、主题词、分类号和计算机检索系统、数据库、文档、年限、检索词等。</w:t>
      </w:r>
    </w:p>
    <w:p w14:paraId="70AD0E72">
      <w:pPr>
        <w:spacing w:before="60" w:line="360" w:lineRule="exact"/>
        <w:ind w:firstLine="425"/>
        <w:rPr>
          <w:b/>
          <w:bCs/>
          <w:szCs w:val="20"/>
        </w:rPr>
      </w:pPr>
      <w:r>
        <w:rPr>
          <w:rFonts w:hint="eastAsia"/>
          <w:b/>
          <w:bCs/>
          <w:szCs w:val="20"/>
        </w:rPr>
        <w:t>六、检索结果</w:t>
      </w:r>
    </w:p>
    <w:p w14:paraId="30045463">
      <w:pPr>
        <w:pStyle w:val="4"/>
        <w:spacing w:line="360" w:lineRule="exact"/>
        <w:ind w:firstLine="425"/>
      </w:pPr>
      <w:r>
        <w:rPr>
          <w:rFonts w:hint="eastAsia"/>
        </w:rPr>
        <w:t>检索结果应当反映出通过对所检数据库和工</w:t>
      </w:r>
      <w:r>
        <w:rPr>
          <w:rFonts w:hint="eastAsia"/>
          <w:color w:val="000000"/>
        </w:rPr>
        <w:t>具书命中的相</w:t>
      </w:r>
      <w:r>
        <w:rPr>
          <w:rFonts w:hint="eastAsia"/>
        </w:rPr>
        <w:t>关文献情况及对相关文献的主要论点进行对比分析的客观情况。</w:t>
      </w:r>
    </w:p>
    <w:p w14:paraId="77DE969A">
      <w:pPr>
        <w:pStyle w:val="4"/>
        <w:spacing w:line="360" w:lineRule="exact"/>
        <w:ind w:firstLine="425"/>
        <w:rPr>
          <w:rFonts w:eastAsia="仿宋_GB2312"/>
          <w:b/>
          <w:bCs/>
        </w:rPr>
      </w:pPr>
      <w:r>
        <w:rPr>
          <w:rFonts w:hint="eastAsia"/>
        </w:rPr>
        <w:t>　　</w:t>
      </w:r>
      <w:r>
        <w:rPr>
          <w:rFonts w:hint="eastAsia" w:eastAsia="仿宋_GB2312"/>
          <w:b/>
          <w:bCs/>
        </w:rPr>
        <w:t>检索结果应当包括下列内容：</w:t>
      </w:r>
    </w:p>
    <w:p w14:paraId="21D74175">
      <w:pPr>
        <w:pStyle w:val="4"/>
        <w:spacing w:line="360" w:lineRule="exact"/>
        <w:ind w:firstLine="425"/>
      </w:pPr>
      <w:r>
        <w:rPr>
          <w:rFonts w:hint="eastAsia"/>
        </w:rPr>
        <w:t>　　①对所检数据库和工具书命中的相关文献情况进行简单描述；</w:t>
      </w:r>
    </w:p>
    <w:p w14:paraId="39308F72">
      <w:pPr>
        <w:pStyle w:val="4"/>
        <w:spacing w:line="360" w:lineRule="exact"/>
        <w:ind w:firstLine="425"/>
      </w:pPr>
      <w:r>
        <w:rPr>
          <w:rFonts w:hint="eastAsia"/>
        </w:rPr>
        <w:t>　　②依据检出文献的相关程度</w:t>
      </w:r>
    </w:p>
    <w:p w14:paraId="1C878A96">
      <w:pPr>
        <w:pStyle w:val="4"/>
        <w:spacing w:line="360" w:lineRule="exact"/>
        <w:ind w:firstLine="425"/>
      </w:pPr>
      <w:r>
        <w:rPr>
          <w:rFonts w:hint="eastAsia"/>
        </w:rPr>
        <w:t>　　③对所列主要相关文献进行简要描述（一般可用原文中的摘要或者利用原文中的摘要进行抽提），对于密切相关文献，可节录部分原文并提供原文的复印件作为附录</w:t>
      </w:r>
    </w:p>
    <w:p w14:paraId="75CC4C52">
      <w:pPr>
        <w:spacing w:before="60" w:line="360" w:lineRule="exact"/>
        <w:ind w:firstLine="425"/>
        <w:rPr>
          <w:b/>
          <w:bCs/>
        </w:rPr>
      </w:pPr>
      <w:r>
        <w:rPr>
          <w:rFonts w:hint="eastAsia"/>
          <w:b/>
          <w:bCs/>
        </w:rPr>
        <w:t>七、查新结论</w:t>
      </w:r>
    </w:p>
    <w:p w14:paraId="469E9B11">
      <w:pPr>
        <w:pStyle w:val="4"/>
        <w:spacing w:line="360" w:lineRule="exact"/>
        <w:ind w:firstLine="425"/>
      </w:pPr>
      <w:r>
        <w:rPr>
          <w:rFonts w:hint="eastAsia"/>
        </w:rPr>
        <w:t>查新结论应当客观、公正、准确、清晰地反映查新项目的真实情况，不得误导。查新结论应当包括下列内容：</w:t>
      </w:r>
    </w:p>
    <w:p w14:paraId="306D8172">
      <w:pPr>
        <w:pStyle w:val="4"/>
        <w:spacing w:line="360" w:lineRule="exact"/>
        <w:ind w:firstLine="425"/>
      </w:pPr>
      <w:r>
        <w:rPr>
          <w:rFonts w:hint="eastAsia"/>
        </w:rPr>
        <w:t>　　①相关文献检出情况；</w:t>
      </w:r>
    </w:p>
    <w:p w14:paraId="53874F97">
      <w:pPr>
        <w:pStyle w:val="4"/>
        <w:spacing w:line="360" w:lineRule="exact"/>
        <w:ind w:firstLine="425"/>
      </w:pPr>
      <w:r>
        <w:rPr>
          <w:rFonts w:hint="eastAsia"/>
        </w:rPr>
        <w:t>　　②检索结果与查新项目的要点的比较分析；</w:t>
      </w:r>
    </w:p>
    <w:p w14:paraId="68867064">
      <w:pPr>
        <w:pStyle w:val="4"/>
        <w:spacing w:line="360" w:lineRule="exact"/>
        <w:ind w:firstLine="425"/>
      </w:pPr>
      <w:r>
        <w:rPr>
          <w:rFonts w:hint="eastAsia"/>
        </w:rPr>
        <w:t>　　③对查新项目新颖性的判断结论。</w:t>
      </w:r>
    </w:p>
    <w:p w14:paraId="3A5BFAA1">
      <w:pPr>
        <w:pStyle w:val="4"/>
        <w:spacing w:line="360" w:lineRule="exact"/>
        <w:ind w:firstLine="425"/>
        <w:rPr>
          <w:b/>
          <w:bCs/>
        </w:rPr>
      </w:pPr>
      <w:r>
        <w:rPr>
          <w:rFonts w:hint="eastAsia"/>
          <w:b/>
          <w:bCs/>
        </w:rPr>
        <w:t>八、申报者本人、所在学校的查新声明</w:t>
      </w:r>
    </w:p>
    <w:p w14:paraId="216FE671">
      <w:pPr>
        <w:pStyle w:val="4"/>
        <w:spacing w:line="360" w:lineRule="exact"/>
        <w:ind w:firstLine="425"/>
      </w:pPr>
      <w:r>
        <w:rPr>
          <w:rFonts w:hint="eastAsia"/>
        </w:rPr>
        <w:t>　　查新报告应当包括经申报者本人、所在学校的查新声明。声明的内容可以参考下面的内容进行撰写。</w:t>
      </w:r>
    </w:p>
    <w:p w14:paraId="035DF755">
      <w:pPr>
        <w:pStyle w:val="4"/>
        <w:spacing w:line="360" w:lineRule="exact"/>
        <w:ind w:firstLine="425"/>
      </w:pPr>
      <w:r>
        <w:rPr>
          <w:rFonts w:hint="eastAsia"/>
        </w:rPr>
        <w:t>　　（１）报告中陈述的事实是真实和准确的。</w:t>
      </w:r>
    </w:p>
    <w:p w14:paraId="709F3E1F">
      <w:pPr>
        <w:pStyle w:val="4"/>
        <w:spacing w:line="360" w:lineRule="exact"/>
        <w:ind w:firstLine="425"/>
      </w:pPr>
      <w:r>
        <w:rPr>
          <w:rFonts w:hint="eastAsia"/>
        </w:rPr>
        <w:t>　　（２）我们按照项目查新规范进行查新、文献分析和审核，并做出上述查新结论。</w:t>
      </w:r>
    </w:p>
    <w:p w14:paraId="370A84F2">
      <w:pPr>
        <w:pStyle w:val="4"/>
        <w:spacing w:line="360" w:lineRule="exact"/>
        <w:ind w:firstLine="425"/>
        <w:rPr>
          <w:b/>
          <w:bCs/>
        </w:rPr>
      </w:pPr>
      <w:r>
        <w:rPr>
          <w:rFonts w:hint="eastAsia"/>
          <w:b/>
          <w:bCs/>
        </w:rPr>
        <w:t>九、附件</w:t>
      </w:r>
    </w:p>
    <w:p w14:paraId="7F975AD3">
      <w:pPr>
        <w:pStyle w:val="4"/>
        <w:spacing w:line="360" w:lineRule="exact"/>
      </w:pPr>
      <w:r>
        <w:rPr>
          <w:rFonts w:hint="eastAsia"/>
        </w:rPr>
        <w:t>附件主要包括密切相关文献的题目、出处以及原文复制件；一般相关文献的题目、出处以及文摘。</w:t>
      </w:r>
    </w:p>
    <w:p w14:paraId="1902C621">
      <w:pPr>
        <w:pStyle w:val="11"/>
        <w:spacing w:line="360" w:lineRule="auto"/>
      </w:pPr>
    </w:p>
    <w:tbl>
      <w:tblPr>
        <w:tblStyle w:val="1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8"/>
        <w:gridCol w:w="6944"/>
      </w:tblGrid>
      <w:tr w14:paraId="59D541C9">
        <w:trPr>
          <w:cantSplit/>
          <w:trHeight w:val="455" w:hRule="atLeast"/>
        </w:trPr>
        <w:tc>
          <w:tcPr>
            <w:tcW w:w="1578" w:type="dxa"/>
            <w:vAlign w:val="center"/>
          </w:tcPr>
          <w:p w14:paraId="4AA3CC8F">
            <w:pPr>
              <w:pStyle w:val="11"/>
              <w:spacing w:line="360" w:lineRule="auto"/>
              <w:jc w:val="center"/>
              <w:rPr>
                <w:b/>
                <w:bCs/>
                <w:sz w:val="21"/>
              </w:rPr>
            </w:pPr>
            <w:r>
              <w:rPr>
                <w:rFonts w:hint="eastAsia"/>
                <w:b/>
                <w:bCs/>
                <w:sz w:val="21"/>
              </w:rPr>
              <w:t>查新项目名称</w:t>
            </w:r>
          </w:p>
        </w:tc>
        <w:tc>
          <w:tcPr>
            <w:tcW w:w="6944" w:type="dxa"/>
          </w:tcPr>
          <w:p>
            <w:pPr>
              <w:jc w:val="left"/>
            </w:pPr>
            <w:r/>
            <w:r>
              <w:rPr>
                <w:rFonts w:ascii="仿宋_GB2312" w:hAnsi="仿宋_GB2312" w:eastAsia="仿宋_GB2312"/>
                <w:b w:val="0"/>
                <w:sz w:val="22"/>
              </w:rPr>
              <w:t>小鳌带路——基于K230视觉终端的粤地非遗书院AI导览装置</w:t>
            </w:r>
          </w:p>
        </w:tc>
      </w:tr>
      <w:tr w14:paraId="7C8D0491">
        <w:tc>
          <w:tcPr>
            <w:tcW w:w="8522" w:type="dxa"/>
            <w:gridSpan w:val="2"/>
          </w:tcPr>
          <w:p>
            <w:r/>
            <w:r>
              <w:rPr>
                <w:rFonts w:ascii="黑体" w:hAnsi="黑体" w:eastAsia="黑体"/>
                <w:b/>
                <w:sz w:val="21"/>
              </w:rPr>
              <w:t>一．查新目的</w:t>
            </w:r>
          </w:p>
          <w:p>
            <w:r>
              <w:rPr>
                <w:rFonts w:ascii="仿宋_GB2312" w:hAnsi="仿宋_GB2312" w:eastAsia="仿宋_GB2312"/>
                <w:b w:val="0"/>
                <w:sz w:val="22"/>
              </w:rPr>
              <w:t>申报2026年东莞市青少年科技创新大赛（发明创造作品）</w:t>
            </w:r>
          </w:p>
        </w:tc>
      </w:tr>
      <w:tr w14:paraId="26E8593C">
        <w:tc>
          <w:tcPr>
            <w:tcW w:w="8522" w:type="dxa"/>
            <w:gridSpan w:val="2"/>
          </w:tcPr>
          <w:p>
            <w:r/>
            <w:r>
              <w:rPr>
                <w:rFonts w:ascii="黑体" w:hAnsi="黑体" w:eastAsia="黑体"/>
                <w:b/>
                <w:sz w:val="21"/>
              </w:rPr>
              <w:t>二．查新项目的创新要点</w:t>
            </w:r>
          </w:p>
          <w:p>
            <w:r>
              <w:rPr>
                <w:rFonts w:ascii="仿宋_GB2312" w:hAnsi="仿宋_GB2312" w:eastAsia="仿宋_GB2312"/>
                <w:b w:val="0"/>
                <w:sz w:val="22"/>
              </w:rPr>
              <w:t>1. 嵌入式三端协同的视觉导览架构：以K230视觉终端承担摄像头采集、人脸检测、LBPH识别、五类打印参考卡匹配、触摸界面与本地播报；行空板K10承担离线关键词识别与状态显示；网页端以Three.js呈现书院三维场景与关卡状态，三端通过MQTT主题协同，避免由单一高算力设备承担全部交互。</w:t>
            </w:r>
          </w:p>
          <w:p>
            <w:r>
              <w:rPr>
                <w:rFonts w:ascii="仿宋_GB2312" w:hAnsi="仿宋_GB2312" w:eastAsia="仿宋_GB2312"/>
                <w:b w:val="0"/>
                <w:sz w:val="22"/>
              </w:rPr>
              <w:t>2. 静态图像原型匹配与防抖判定：对卡片中心区域做HSV颜色直方图、Sobel纹理方向直方图和颜色比例特征提取，与类别原型进行相似度比较；以0.28秒最短识别间隔、2.5秒时间窗累计命中2次确认，并叠加低纹理阈值、0.95相似度阈值、0.04类间差和0.55绝对下限，兼顾手持抖动与低纹理画面误报。</w:t>
            </w:r>
          </w:p>
          <w:p>
            <w:r>
              <w:rPr>
                <w:rFonts w:ascii="仿宋_GB2312" w:hAnsi="仿宋_GB2312" w:eastAsia="仿宋_GB2312"/>
                <w:b w:val="0"/>
                <w:sz w:val="22"/>
              </w:rPr>
              <w:t>3. 现场人脸学习与摄像头生命周期管理：采用KPU人脸检测与LBPH识别，现场最多采集15帧重建本地人脸库并绑定访客；所有页面统一使用一个摄像头入口，按需申请、离开释放，增加退避重试和父进程检查，避免反复开关导致设备占用或后台残留。</w:t>
            </w:r>
          </w:p>
          <w:p>
            <w:r>
              <w:rPr>
                <w:rFonts w:ascii="仿宋_GB2312" w:hAnsi="仿宋_GB2312" w:eastAsia="仿宋_GB2312"/>
                <w:b w:val="0"/>
                <w:sz w:val="22"/>
              </w:rPr>
              <w:t>4. 讲解与答题时序分离的双语交互：识别后先播放讲解，讲解阶段结束才发布不含答案的题卡；答错重新开放选项，答对才记录完成。普通话与粤语资源分离，设备发声时网页只显示字幕，并通过消息标记避免双端叠音。</w:t>
            </w:r>
          </w:p>
          <w:p>
            <w:r>
              <w:rPr>
                <w:rFonts w:ascii="仿宋_GB2312" w:hAnsi="仿宋_GB2312" w:eastAsia="仿宋_GB2312"/>
                <w:b w:val="0"/>
                <w:sz w:val="22"/>
              </w:rPr>
              <w:t>5. 五关导览与五类候选展项识别答题的闭环：五关负责空间讲解，火眼金睛负责五类打印参考卡识别、讲解、答题和完成记录；全部完成后展示积分与兑换档位，形成可重复演示的导览任务链，同时把候选名称、图片来源和文化出处作为独立状态记录。</w:t>
            </w:r>
          </w:p>
        </w:tc>
      </w:tr>
      <w:tr w14:paraId="14408EA9">
        <w:tc>
          <w:tcPr>
            <w:tcW w:w="8522" w:type="dxa"/>
            <w:gridSpan w:val="2"/>
          </w:tcPr>
          <w:p>
            <w:r/>
            <w:r>
              <w:rPr>
                <w:rFonts w:ascii="黑体" w:hAnsi="黑体" w:eastAsia="黑体"/>
                <w:b/>
                <w:sz w:val="21"/>
              </w:rPr>
              <w:t>三．查新点</w:t>
            </w:r>
          </w:p>
          <w:p>
            <w:r>
              <w:rPr>
                <w:rFonts w:ascii="黑体" w:hAnsi="黑体" w:eastAsia="黑体"/>
                <w:b/>
                <w:sz w:val="21"/>
              </w:rPr>
              <w:t>查新点：</w:t>
            </w:r>
          </w:p>
          <w:p>
            <w:r>
              <w:rPr>
                <w:rFonts w:ascii="仿宋_GB2312" w:hAnsi="仿宋_GB2312" w:eastAsia="仿宋_GB2312"/>
                <w:b w:val="0"/>
                <w:sz w:val="22"/>
              </w:rPr>
              <w:t>1. 一种以K230视觉终端、行空板K10与网页三维端协同工作的粤地书院非遗导览装置，三端分别承担视觉识别、语音控制与场景展示，并通过消息主题同步关卡和识别状态；</w:t>
            </w:r>
          </w:p>
          <w:p>
            <w:r>
              <w:rPr>
                <w:rFonts w:ascii="仿宋_GB2312" w:hAnsi="仿宋_GB2312" w:eastAsia="仿宋_GB2312"/>
                <w:b w:val="0"/>
                <w:sz w:val="22"/>
              </w:rPr>
              <w:t>2. 一种面向手持打印参考卡的静态图像原型匹配方法，采用0.28秒最短间隔、2.5秒窗口内累计命中2次，并结合纹理下限、相似度阈值、类间差和绝对下限的联合判定；</w:t>
            </w:r>
          </w:p>
          <w:p>
            <w:r>
              <w:rPr>
                <w:rFonts w:ascii="仿宋_GB2312" w:hAnsi="仿宋_GB2312" w:eastAsia="仿宋_GB2312"/>
                <w:b w:val="0"/>
                <w:sz w:val="22"/>
              </w:rPr>
              <w:t>3. 一种KPU人脸检测、LBPH识别与现场15帧以内即时建库相结合的人脸学习机制，配合单入口摄像头生命周期管理与进程退出清理；</w:t>
            </w:r>
          </w:p>
          <w:p>
            <w:r>
              <w:rPr>
                <w:rFonts w:ascii="仿宋_GB2312" w:hAnsi="仿宋_GB2312" w:eastAsia="仿宋_GB2312"/>
                <w:b w:val="0"/>
                <w:sz w:val="22"/>
              </w:rPr>
              <w:t>4. 一种讲解结束后才下发题卡、题卡不含标准答案、答错可重试且答对才记完成的双语交互流程，并以设备发声、网页字幕的消息标记减少双端叠音；</w:t>
            </w:r>
          </w:p>
          <w:p>
            <w:r>
              <w:rPr>
                <w:rFonts w:ascii="仿宋_GB2312" w:hAnsi="仿宋_GB2312" w:eastAsia="仿宋_GB2312"/>
                <w:b w:val="0"/>
                <w:sz w:val="22"/>
              </w:rPr>
              <w:t>5. 一种将五关书院讲解、五类候选展项打印卡识别答题、完成记录与积分兑换展示串联的导览任务闭环装置。</w:t>
            </w:r>
          </w:p>
        </w:tc>
      </w:tr>
      <w:tr w14:paraId="2BC1C394">
        <w:tc>
          <w:tcPr>
            <w:tcW w:w="8522" w:type="dxa"/>
            <w:gridSpan w:val="2"/>
          </w:tcPr>
          <w:p>
            <w:r/>
            <w:r>
              <w:rPr>
                <w:rFonts w:ascii="黑体" w:hAnsi="黑体" w:eastAsia="黑体"/>
                <w:b/>
                <w:sz w:val="21"/>
              </w:rPr>
              <w:t>四．文献检索范围及检索策略</w:t>
            </w:r>
          </w:p>
          <w:p>
            <w:r>
              <w:rPr>
                <w:rFonts w:ascii="黑体" w:hAnsi="黑体" w:eastAsia="黑体"/>
                <w:b/>
                <w:sz w:val="21"/>
              </w:rPr>
              <w:t>文献检索范围：中国知网（CNKI）、万方数据、维普中文科技期刊数据库、国家知识产权局中国专利公布公告系统</w:t>
            </w:r>
          </w:p>
          <w:p>
            <w:r>
              <w:rPr>
                <w:rFonts w:ascii="黑体" w:hAnsi="黑体" w:eastAsia="黑体"/>
                <w:b/>
                <w:sz w:val="21"/>
              </w:rPr>
              <w:t>检索词及检索策略：</w:t>
            </w:r>
          </w:p>
          <w:p>
            <w:r>
              <w:rPr>
                <w:rFonts w:ascii="黑体" w:hAnsi="黑体" w:eastAsia="黑体"/>
                <w:b/>
                <w:sz w:val="20"/>
              </w:rPr>
              <w:t>检索词：</w:t>
            </w:r>
          </w:p>
          <w:p>
            <w:r>
              <w:rPr>
                <w:rFonts w:ascii="仿宋_GB2312" w:hAnsi="仿宋_GB2312" w:eastAsia="仿宋_GB2312"/>
                <w:b w:val="0"/>
                <w:sz w:val="22"/>
              </w:rPr>
              <w:t>1. 非遗导览  书院导览  博物馆导览</w:t>
            </w:r>
          </w:p>
          <w:p>
            <w:r>
              <w:rPr>
                <w:rFonts w:ascii="仿宋_GB2312" w:hAnsi="仿宋_GB2312" w:eastAsia="仿宋_GB2312"/>
                <w:b w:val="0"/>
                <w:sz w:val="22"/>
              </w:rPr>
              <w:t>2. 图像识别  实物识别  颜色纹理特征</w:t>
            </w:r>
          </w:p>
          <w:p>
            <w:r>
              <w:rPr>
                <w:rFonts w:ascii="仿宋_GB2312" w:hAnsi="仿宋_GB2312" w:eastAsia="仿宋_GB2312"/>
                <w:b w:val="0"/>
                <w:sz w:val="22"/>
              </w:rPr>
              <w:t>3. 人脸检测  人脸识别  现场注册</w:t>
            </w:r>
          </w:p>
          <w:p>
            <w:r>
              <w:rPr>
                <w:rFonts w:ascii="仿宋_GB2312" w:hAnsi="仿宋_GB2312" w:eastAsia="仿宋_GB2312"/>
                <w:b w:val="0"/>
                <w:sz w:val="22"/>
              </w:rPr>
              <w:t>4. 三维场景  虚拟导览  消息同步</w:t>
            </w:r>
          </w:p>
          <w:p>
            <w:r>
              <w:rPr>
                <w:rFonts w:ascii="仿宋_GB2312" w:hAnsi="仿宋_GB2312" w:eastAsia="仿宋_GB2312"/>
                <w:b w:val="0"/>
                <w:sz w:val="22"/>
              </w:rPr>
              <w:t>5. 双语语音  讲解时序  积分反馈</w:t>
            </w:r>
          </w:p>
          <w:p>
            <w:r>
              <w:rPr>
                <w:rFonts w:ascii="黑体" w:hAnsi="黑体" w:eastAsia="黑体"/>
                <w:b/>
                <w:sz w:val="20"/>
              </w:rPr>
              <w:t>检索式：</w:t>
            </w:r>
          </w:p>
          <w:p>
            <w:r>
              <w:rPr>
                <w:rFonts w:ascii="仿宋_GB2312" w:hAnsi="仿宋_GB2312" w:eastAsia="仿宋_GB2312"/>
                <w:b w:val="0"/>
                <w:sz w:val="22"/>
              </w:rPr>
              <w:t>1. （非遗 OR 书院 OR 博物馆 OR 展馆） AND （导览 OR 讲解 OR 交互） AND （图像识别 OR 实物识别）</w:t>
            </w:r>
          </w:p>
          <w:p>
            <w:r>
              <w:rPr>
                <w:rFonts w:ascii="仿宋_GB2312" w:hAnsi="仿宋_GB2312" w:eastAsia="仿宋_GB2312"/>
                <w:b w:val="0"/>
                <w:sz w:val="22"/>
              </w:rPr>
              <w:t>2. （颜色特征 OR 纹理特征 OR 原型匹配） AND （嵌入式 OR 端侧 OR 视觉终端）</w:t>
            </w:r>
          </w:p>
          <w:p>
            <w:r>
              <w:rPr>
                <w:rFonts w:ascii="仿宋_GB2312" w:hAnsi="仿宋_GB2312" w:eastAsia="仿宋_GB2312"/>
                <w:b w:val="0"/>
                <w:sz w:val="22"/>
              </w:rPr>
              <w:t>3. （人脸识别 OR 人脸注册） AND （导览 OR 展馆） AND （语音 OR 双语 OR 讲解时序）</w:t>
            </w:r>
          </w:p>
        </w:tc>
      </w:tr>
      <w:tr w14:paraId="3C76D998">
        <w:tc>
          <w:tcPr>
            <w:tcW w:w="8522" w:type="dxa"/>
            <w:gridSpan w:val="2"/>
          </w:tcPr>
          <w:p>
            <w:r/>
            <w:r>
              <w:rPr>
                <w:rFonts w:ascii="黑体" w:hAnsi="黑体" w:eastAsia="黑体"/>
                <w:b/>
                <w:sz w:val="21"/>
              </w:rPr>
              <w:t>五．检索结果</w:t>
            </w:r>
          </w:p>
          <w:p>
            <w:r>
              <w:rPr>
                <w:rFonts w:ascii="仿宋_GB2312" w:hAnsi="仿宋_GB2312" w:eastAsia="仿宋_GB2312"/>
                <w:b w:val="0"/>
                <w:sz w:val="21"/>
              </w:rPr>
              <w:t>按上述检索词，在以上数据库和文献时限内，查到一些与本课题有关的文献，提供附件（  5  ）份，现对附件摘述如下：</w:t>
            </w:r>
          </w:p>
          <w:p/>
          <w:p>
            <w:r>
              <w:rPr>
                <w:rFonts w:ascii="黑体" w:hAnsi="黑体" w:eastAsia="黑体"/>
                <w:b/>
                <w:sz w:val="22"/>
              </w:rPr>
              <w:t>[题名] 新媒体技术在非物质文化遗产数字化展示中的创新应用</w:t>
            </w:r>
          </w:p>
          <w:p>
            <w:r>
              <w:rPr>
                <w:rFonts w:ascii="仿宋_GB2312" w:hAnsi="仿宋_GB2312" w:eastAsia="仿宋_GB2312"/>
                <w:b w:val="0"/>
                <w:sz w:val="22"/>
              </w:rPr>
              <w:t>[作者] 吕燕茹, 张利</w:t>
            </w:r>
          </w:p>
          <w:p>
            <w:r>
              <w:rPr>
                <w:rFonts w:ascii="仿宋_GB2312" w:hAnsi="仿宋_GB2312" w:eastAsia="仿宋_GB2312"/>
                <w:b w:val="0"/>
                <w:sz w:val="22"/>
              </w:rPr>
              <w:t>[来源] 包装工程, 2016</w:t>
            </w:r>
          </w:p>
          <w:p>
            <w:r>
              <w:rPr>
                <w:rFonts w:ascii="仿宋_GB2312" w:hAnsi="仿宋_GB2312" w:eastAsia="仿宋_GB2312"/>
                <w:b w:val="0"/>
                <w:sz w:val="22"/>
              </w:rPr>
              <w:t>[摘要] 该文梳理新媒体技术在非物质文化遗产数字化展示中的应用，讨论动画可视化、移动交互和虚拟展示等方式对传播效果的作用。其重点在展示形式和传播路径，未给出低算力视觉终端上的静态卡片识别与防抖判定，也未涉及讲解结束后出题、答错重试及设备与网页的语音仲裁。项目可借鉴其对展示媒介的分类，但不能据此说明多端导览闭环已经实现。</w:t>
            </w:r>
          </w:p>
          <w:p/>
          <w:p>
            <w:r>
              <w:rPr>
                <w:rFonts w:ascii="黑体" w:hAnsi="黑体" w:eastAsia="黑体"/>
                <w:b/>
                <w:sz w:val="22"/>
              </w:rPr>
              <w:t>[题名] 文化遗产数字化展示与互动技术研究与进展</w:t>
            </w:r>
          </w:p>
          <w:p>
            <w:r>
              <w:rPr>
                <w:rFonts w:ascii="仿宋_GB2312" w:hAnsi="仿宋_GB2312" w:eastAsia="仿宋_GB2312"/>
                <w:b w:val="0"/>
                <w:sz w:val="22"/>
              </w:rPr>
              <w:t>[作者] 潘志庚, 袁庆曙, 陈胜男, 张明敏</w:t>
            </w:r>
          </w:p>
          <w:p>
            <w:r>
              <w:rPr>
                <w:rFonts w:ascii="仿宋_GB2312" w:hAnsi="仿宋_GB2312" w:eastAsia="仿宋_GB2312"/>
                <w:b w:val="0"/>
                <w:sz w:val="22"/>
              </w:rPr>
              <w:t>[来源] 浙江大学学报(工学版), 2020</w:t>
            </w:r>
          </w:p>
          <w:p>
            <w:r>
              <w:rPr>
                <w:rFonts w:ascii="仿宋_GB2312" w:hAnsi="仿宋_GB2312" w:eastAsia="仿宋_GB2312"/>
                <w:b w:val="0"/>
                <w:sz w:val="22"/>
              </w:rPr>
              <w:t>[摘要] 该文综述文化遗产数字化展示与互动技术，涵盖虚拟现实、增强现实、漫游和交互展示等方向，指出多模态体验对文化传播具有价值。文章以技术进展和系统类型梳理为主，未面向K230一类端侧设备给出实时图像匹配参数，也未讨论五类打印参考卡的累计命中判据、讲解与答题的时序约束以及设备端和网页端的语音冲突处理。</w:t>
            </w:r>
          </w:p>
          <w:p/>
          <w:p>
            <w:r>
              <w:rPr>
                <w:rFonts w:ascii="黑体" w:hAnsi="黑体" w:eastAsia="黑体"/>
                <w:b/>
                <w:sz w:val="22"/>
              </w:rPr>
              <w:t>[题名] 非物质文化遗产的数字化发展及关键技术应用</w:t>
            </w:r>
          </w:p>
          <w:p>
            <w:r>
              <w:rPr>
                <w:rFonts w:ascii="仿宋_GB2312" w:hAnsi="仿宋_GB2312" w:eastAsia="仿宋_GB2312"/>
                <w:b w:val="0"/>
                <w:sz w:val="22"/>
              </w:rPr>
              <w:t>[作者] 姚国章</w:t>
            </w:r>
          </w:p>
          <w:p>
            <w:r>
              <w:rPr>
                <w:rFonts w:ascii="仿宋_GB2312" w:hAnsi="仿宋_GB2312" w:eastAsia="仿宋_GB2312"/>
                <w:b w:val="0"/>
                <w:sz w:val="22"/>
              </w:rPr>
              <w:t>[来源] 常州大学学报(社会科学版), 2021</w:t>
            </w:r>
          </w:p>
          <w:p>
            <w:r>
              <w:rPr>
                <w:rFonts w:ascii="仿宋_GB2312" w:hAnsi="仿宋_GB2312" w:eastAsia="仿宋_GB2312"/>
                <w:b w:val="0"/>
                <w:sz w:val="22"/>
              </w:rPr>
              <w:t>[摘要] 该文从采集、存储、传输、处理、分析和应用等环节讨论非遗数字化的关键技术，强调数字化对展示、传承和传播的支撑作用。其讨论集中在技术框架与宏观路径，未给出具体装置的多端消息状态机，也未涉及人脸现场学习、静态图像原型比对和识别完成后的答题反馈。该文的局限恰说明本项目需要在具体展台条件下补齐可运行、可复现的工程设计。</w:t>
            </w:r>
          </w:p>
          <w:p/>
          <w:p>
            <w:r>
              <w:rPr>
                <w:rFonts w:ascii="黑体" w:hAnsi="黑体" w:eastAsia="黑体"/>
                <w:b/>
                <w:sz w:val="22"/>
              </w:rPr>
              <w:t>[题名] 人工智能在文化遗产保护传承中的价值研究</w:t>
            </w:r>
          </w:p>
          <w:p>
            <w:r>
              <w:rPr>
                <w:rFonts w:ascii="仿宋_GB2312" w:hAnsi="仿宋_GB2312" w:eastAsia="仿宋_GB2312"/>
                <w:b w:val="0"/>
                <w:sz w:val="22"/>
              </w:rPr>
              <w:t>[作者] 沈贵华, 祝孔强</w:t>
            </w:r>
          </w:p>
          <w:p>
            <w:r>
              <w:rPr>
                <w:rFonts w:ascii="仿宋_GB2312" w:hAnsi="仿宋_GB2312" w:eastAsia="仿宋_GB2312"/>
                <w:b w:val="0"/>
                <w:sz w:val="22"/>
              </w:rPr>
              <w:t>[来源] 博物院, 2023</w:t>
            </w:r>
          </w:p>
          <w:p>
            <w:r>
              <w:rPr>
                <w:rFonts w:ascii="仿宋_GB2312" w:hAnsi="仿宋_GB2312" w:eastAsia="仿宋_GB2312"/>
                <w:b w:val="0"/>
                <w:sz w:val="22"/>
              </w:rPr>
              <w:t>[摘要] 该文讨论人工智能在文化遗产保护、展示和传播中的价值，关注智能技术在文化场景的应用前景。文章属于价值与路径层面的研究，没有公开K230端侧识别参数、五类打印卡测试集或讲解后出题的交互流程，也没有对人脸数据、积分账本和设备资源释放给出工程级方案。其观点可用于论证项目意义，但不能作为本项目技术特征已公开的依据。</w:t>
            </w:r>
          </w:p>
          <w:p/>
          <w:p>
            <w:r>
              <w:rPr>
                <w:rFonts w:ascii="黑体" w:hAnsi="黑体" w:eastAsia="黑体"/>
                <w:b/>
                <w:sz w:val="22"/>
              </w:rPr>
              <w:t>[题名] 科技馆的智能导览终端设计</w:t>
            </w:r>
          </w:p>
          <w:p>
            <w:r>
              <w:rPr>
                <w:rFonts w:ascii="仿宋_GB2312" w:hAnsi="仿宋_GB2312" w:eastAsia="仿宋_GB2312"/>
                <w:b w:val="0"/>
                <w:sz w:val="22"/>
              </w:rPr>
              <w:t>[作者] 张文山</w:t>
            </w:r>
          </w:p>
          <w:p>
            <w:r>
              <w:rPr>
                <w:rFonts w:ascii="仿宋_GB2312" w:hAnsi="仿宋_GB2312" w:eastAsia="仿宋_GB2312"/>
                <w:b w:val="0"/>
                <w:sz w:val="22"/>
              </w:rPr>
              <w:t>[来源] 科技与企业, 2015</w:t>
            </w:r>
          </w:p>
          <w:p>
            <w:r>
              <w:rPr>
                <w:rFonts w:ascii="仿宋_GB2312" w:hAnsi="仿宋_GB2312" w:eastAsia="仿宋_GB2312"/>
                <w:b w:val="0"/>
                <w:sz w:val="22"/>
              </w:rPr>
              <w:t>[摘要] 该文讨论科技馆智能导览终端的设计思路，关注导览设备的信息呈现和观众使用方式。其公开内容未涉及基于颜色与纹理原型的五类卡片匹配、2.5秒时间窗累计命中、KPU与LBPH组合的人脸现场学习，也未涉及三端消息协同与答题时序控制。该文献可作为早期导览终端的背景材料，但其功能边界与本项目的多模态闭环存在明显差异。</w:t>
            </w:r>
          </w:p>
        </w:tc>
      </w:tr>
      <w:tr w14:paraId="5946A18F">
        <w:tc>
          <w:tcPr>
            <w:tcW w:w="8522" w:type="dxa"/>
            <w:gridSpan w:val="2"/>
          </w:tcPr>
          <w:p>
            <w:r/>
            <w:r>
              <w:rPr>
                <w:rFonts w:ascii="黑体" w:hAnsi="黑体" w:eastAsia="黑体"/>
                <w:b/>
                <w:sz w:val="21"/>
              </w:rPr>
              <w:t>六．查新结论</w:t>
            </w:r>
          </w:p>
          <w:p>
            <w:r>
              <w:rPr>
                <w:rFonts w:ascii="仿宋_GB2312" w:hAnsi="仿宋_GB2312" w:eastAsia="仿宋_GB2312"/>
                <w:b w:val="0"/>
                <w:sz w:val="22"/>
              </w:rPr>
              <w:t>经对检索出的相关文献进行分析、对比，结论如下：检索到的文献主要集中在非遗数字化展示、文化遗产互动技术和智能导览终端设计等方向，能够说明文化场景对数字化交互有需求，但在端侧视觉识别参数、现场人脸学习、讲解与答题时序、三端消息协同和五类打印参考卡闭环等方面，未检出与本项目技术组合相同的公开报道。具体对比如下：</w:t>
            </w:r>
          </w:p>
          <w:p>
            <w:r>
              <w:rPr>
                <w:rFonts w:ascii="仿宋_GB2312" w:hAnsi="仿宋_GB2312" w:eastAsia="仿宋_GB2312"/>
                <w:b w:val="0"/>
                <w:sz w:val="22"/>
              </w:rPr>
              <w:t>文献 1：《新媒体技术在非物质文化遗产数字化展示中的创新应用》</w:t>
            </w:r>
          </w:p>
          <w:p>
            <w:r>
              <w:rPr>
                <w:rFonts w:ascii="仿宋_GB2312" w:hAnsi="仿宋_GB2312" w:eastAsia="仿宋_GB2312"/>
                <w:b w:val="0"/>
                <w:sz w:val="22"/>
              </w:rPr>
              <w:t>文献 2：《文化遗产数字化展示与互动技术研究与进展》</w:t>
            </w:r>
          </w:p>
          <w:p>
            <w:r>
              <w:rPr>
                <w:rFonts w:ascii="仿宋_GB2312" w:hAnsi="仿宋_GB2312" w:eastAsia="仿宋_GB2312"/>
                <w:b w:val="0"/>
                <w:sz w:val="22"/>
              </w:rPr>
              <w:t>文献 3：《非物质文化遗产的数字化发展及关键技术应用》</w:t>
            </w:r>
          </w:p>
          <w:p>
            <w:r>
              <w:rPr>
                <w:rFonts w:ascii="仿宋_GB2312" w:hAnsi="仿宋_GB2312" w:eastAsia="仿宋_GB2312"/>
                <w:b w:val="0"/>
                <w:sz w:val="22"/>
              </w:rPr>
              <w:t>文献 4：《人工智能在文化遗产保护传承中的价值研究》</w:t>
            </w:r>
          </w:p>
          <w:p>
            <w:r>
              <w:rPr>
                <w:rFonts w:ascii="仿宋_GB2312" w:hAnsi="仿宋_GB2312" w:eastAsia="仿宋_GB2312"/>
                <w:b w:val="0"/>
                <w:sz w:val="22"/>
              </w:rPr>
              <w:t>文献 5：《科技馆的智能导览终端设计》</w:t>
            </w:r>
          </w:p>
          <w:p>
            <w:r>
              <w:rPr>
                <w:rFonts w:ascii="黑体" w:hAnsi="黑体" w:eastAsia="黑体"/>
                <w:b/>
                <w:sz w:val="22"/>
              </w:rPr>
              <w:t>综上所述，本课题的研究特点是：</w:t>
            </w:r>
          </w:p>
          <w:p>
            <w:r>
              <w:rPr>
                <w:rFonts w:ascii="仿宋_GB2312" w:hAnsi="仿宋_GB2312" w:eastAsia="仿宋_GB2312"/>
                <w:b w:val="0"/>
                <w:sz w:val="22"/>
              </w:rPr>
              <w:t>1. 相关文献检索情况：检索结果以展示方式、技术综述和导览终端设计为主，部分文献讨论虚拟展示、移动交互或人工智能应用前景，但普遍没有给出可在低成本端侧设备上运行的五类静态图像匹配方案，也未处理讲解未结束就答题、答错后无法重试、设备与网页同时发声等交互问题。整体呈现“展示形式研究较多、端侧闭环实现较少”的特点。</w:t>
            </w:r>
          </w:p>
          <w:p>
            <w:r>
              <w:rPr>
                <w:rFonts w:ascii="黑体" w:hAnsi="黑体" w:eastAsia="黑体"/>
                <w:b/>
                <w:sz w:val="22"/>
              </w:rPr>
              <w:t>2. 对比分析（针对查新要点与现有技术的对比）：</w:t>
            </w:r>
          </w:p>
          <w:p>
            <w:r>
              <w:rPr>
                <w:rFonts w:ascii="仿宋_GB2312" w:hAnsi="仿宋_GB2312" w:eastAsia="仿宋_GB2312"/>
                <w:b w:val="0"/>
                <w:sz w:val="22"/>
              </w:rPr>
              <w:t>（1）三端协同架构：现有文献多讨论单一展示系统或终端，未把K230视觉终端、行空板K10语音控制与网页三维场景作为同一任务流中的三个角色。本项目以消息主题同步关卡、识别和字幕状态，设备保留本地触摸与播报，网页负责场景与展示，对应查新点1；</w:t>
            </w:r>
          </w:p>
          <w:p>
            <w:r>
              <w:rPr>
                <w:rFonts w:ascii="仿宋_GB2312" w:hAnsi="仿宋_GB2312" w:eastAsia="仿宋_GB2312"/>
                <w:b w:val="0"/>
                <w:sz w:val="22"/>
              </w:rPr>
              <w:t>（2）静态图像防抖判据：现有展示研究未公开针对手持打印参考卡的累计命中参数。本项目采用颜色与纹理原型比对，0.28秒最短识别间隔、2.5秒窗口命中2次确认，并以纹理下限、相似度阈值、类间差和绝对下限联合拒识，对应查新点2；</w:t>
            </w:r>
          </w:p>
          <w:p>
            <w:r>
              <w:rPr>
                <w:rFonts w:ascii="仿宋_GB2312" w:hAnsi="仿宋_GB2312" w:eastAsia="仿宋_GB2312"/>
                <w:b w:val="0"/>
                <w:sz w:val="22"/>
              </w:rPr>
              <w:t>（3）现场人脸学习：文献中的人脸相关内容未涉及KPU检测与LBPH现场建库的组合。本项目最多采集15帧即重建本地人脸库并绑定访客，所有页面复用单一摄像头入口，退出时统一释放并检测遗留进程，对应查新点3；</w:t>
            </w:r>
          </w:p>
          <w:p>
            <w:r>
              <w:rPr>
                <w:rFonts w:ascii="仿宋_GB2312" w:hAnsi="仿宋_GB2312" w:eastAsia="仿宋_GB2312"/>
                <w:b w:val="0"/>
                <w:sz w:val="22"/>
              </w:rPr>
              <w:t>（4）讲解与答题时序：现有导览终端多把讲解与题目作为并列按钮。本项目把题卡发布绑定到讲解阶段结束，题卡不携带答案，答错重新开放选项，答对才记录完成；同时以设备发声、网页字幕的事件标记减少叠音，对应查新点4；</w:t>
            </w:r>
          </w:p>
          <w:p>
            <w:r>
              <w:rPr>
                <w:rFonts w:ascii="仿宋_GB2312" w:hAnsi="仿宋_GB2312" w:eastAsia="仿宋_GB2312"/>
                <w:b w:val="0"/>
                <w:sz w:val="22"/>
              </w:rPr>
              <w:t>（5）任务闭环：现有文献分别讨论展示、识别或终端，未将五关空间讲解、五类打印参考卡识别答题、完成记录和积分兑换展示串联为同一装置流程。本项目以统一内容表管理五关与五类候选展项，并保留文化出处待核状态，对应查新点5。</w:t>
            </w:r>
          </w:p>
          <w:p>
            <w:r>
              <w:rPr>
                <w:rFonts w:ascii="黑体" w:hAnsi="黑体" w:eastAsia="黑体"/>
                <w:b/>
                <w:sz w:val="22"/>
              </w:rPr>
              <w:t>3. 新颖性判断：在本次检索范围内，未检出与本项目在K230端侧视觉识别、K10语音控制、网页三维展示、打印参考卡防抖判定、现场人脸学习及讲解后答题时序方面组合完全相同的公开文献或专利报道，本项目具备新颖性。需要说明的是，本报告的新颖性判断仅针对本次检索范围和所列查新点；候选展项的文化名称、地域关系、项目级别和实物来源不属于技术查新结论，仍应按项目资料另行核验。</w:t>
            </w:r>
          </w:p>
          <w:p/>
          <w:p>
            <w:r>
              <w:rPr>
                <w:rFonts w:ascii="仿宋_GB2312" w:hAnsi="仿宋_GB2312" w:eastAsia="仿宋_GB2312"/>
                <w:b w:val="0"/>
                <w:sz w:val="22"/>
              </w:rPr>
              <w:t>查新员（签字）：                                   审核员：</w:t>
            </w:r>
          </w:p>
          <w:p/>
          <w:p>
            <w:pPr>
              <w:jc w:val="right"/>
            </w:pPr>
            <w:r>
              <w:rPr>
                <w:rFonts w:ascii="仿宋_GB2312" w:hAnsi="仿宋_GB2312" w:eastAsia="仿宋_GB2312"/>
                <w:b w:val="0"/>
                <w:sz w:val="22"/>
              </w:rPr>
              <w:t xml:space="preserve">日期：2026年10月25日      </w:t>
            </w:r>
          </w:p>
        </w:tc>
      </w:tr>
      <w:tr w14:paraId="18A2B9E1">
        <w:trPr>
          <w:trHeight w:val="1806" w:hRule="atLeast"/>
        </w:trPr>
        <w:tc>
          <w:tcPr>
            <w:tcW w:w="8522" w:type="dxa"/>
            <w:gridSpan w:val="2"/>
          </w:tcPr>
          <w:p>
            <w:r/>
            <w:r>
              <w:rPr>
                <w:rFonts w:ascii="黑体" w:hAnsi="黑体" w:eastAsia="黑体"/>
                <w:b/>
                <w:sz w:val="21"/>
              </w:rPr>
              <w:t>七．申报者本人、所在学校的查新声明与证明</w:t>
            </w:r>
          </w:p>
          <w:p>
            <w:r>
              <w:rPr>
                <w:rFonts w:ascii="仿宋_GB2312" w:hAnsi="仿宋_GB2312" w:eastAsia="仿宋_GB2312"/>
                <w:b w:val="0"/>
                <w:sz w:val="22"/>
              </w:rPr>
              <w:t>报告中陈述的事实是真实和准确的。</w:t>
            </w:r>
          </w:p>
          <w:p>
            <w:r>
              <w:rPr>
                <w:rFonts w:ascii="仿宋_GB2312" w:hAnsi="仿宋_GB2312" w:eastAsia="仿宋_GB2312"/>
                <w:b w:val="0"/>
                <w:sz w:val="22"/>
              </w:rPr>
              <w:t>我们按照大赛查新规范进行查新、文献分析和审核，并做出上述查新结论。</w:t>
            </w:r>
          </w:p>
          <w:p/>
          <w:p>
            <w:r>
              <w:rPr>
                <w:rFonts w:ascii="仿宋_GB2312" w:hAnsi="仿宋_GB2312" w:eastAsia="仿宋_GB2312"/>
                <w:b w:val="0"/>
                <w:sz w:val="22"/>
              </w:rPr>
              <w:t>申报者（签名）：                                   指导教师（签名）：</w:t>
            </w:r>
          </w:p>
          <w:p>
            <w:r>
              <w:rPr>
                <w:rFonts w:ascii="仿宋_GB2312" w:hAnsi="仿宋_GB2312" w:eastAsia="仿宋_GB2312"/>
                <w:b w:val="0"/>
                <w:sz w:val="22"/>
              </w:rPr>
              <w:t>学校（盖章）：</w:t>
            </w:r>
          </w:p>
          <w:p>
            <w:pPr>
              <w:jc w:val="right"/>
            </w:pPr>
            <w:r>
              <w:rPr>
                <w:rFonts w:ascii="仿宋_GB2312" w:hAnsi="仿宋_GB2312" w:eastAsia="仿宋_GB2312"/>
                <w:b w:val="0"/>
                <w:sz w:val="22"/>
              </w:rPr>
              <w:t xml:space="preserve">日期：2026年10月25日      </w:t>
            </w:r>
          </w:p>
        </w:tc>
      </w:tr>
      <w:tr w14:paraId="69933AEF">
        <w:tc>
          <w:tcPr>
            <w:tcW w:w="8522" w:type="dxa"/>
            <w:gridSpan w:val="2"/>
          </w:tcPr>
          <w:p>
            <w:r/>
            <w:r>
              <w:rPr>
                <w:rFonts w:ascii="黑体" w:hAnsi="黑体" w:eastAsia="黑体"/>
                <w:b/>
                <w:sz w:val="21"/>
              </w:rPr>
              <w:t>八．附件清单</w:t>
            </w:r>
          </w:p>
          <w:p>
            <w:r>
              <w:rPr>
                <w:rFonts w:ascii="仿宋_GB2312" w:hAnsi="仿宋_GB2312" w:eastAsia="仿宋_GB2312"/>
                <w:b w:val="0"/>
                <w:sz w:val="22"/>
              </w:rPr>
              <w:t>本项目制作与演示所用主要器材如下：</w:t>
            </w:r>
          </w:p>
          <w:tbl>
            <w:tblPr>
              <w:tblStyle w:val="14"/>
              <w:tblW w:type="auto" w:w="0"/>
              <w:jc w:val="center"/>
              <w:tblLayout w:type="fixed"/>
              <w:tblLook w:firstColumn="1" w:firstRow="1" w:lastColumn="0" w:lastRow="0" w:noHBand="0" w:noVBand="1" w:val="04A0"/>
            </w:tblPr>
            <w:tblGrid>
              <w:gridCol w:w="1420"/>
              <w:gridCol w:w="1420"/>
              <w:gridCol w:w="1420"/>
              <w:gridCol w:w="1420"/>
              <w:gridCol w:w="1420"/>
              <w:gridCol w:w="1420"/>
            </w:tblGrid>
            <w:tr>
              <w:tc>
                <w:tcPr>
                  <w:tcW w:type="dxa" w:w="624"/>
                  <w:shd w:fill="DCE6F1" w:val="clear"/>
                </w:tcPr>
                <w:p>
                  <w:pPr>
                    <w:jc w:val="center"/>
                  </w:pPr>
                  <w:r/>
                  <w:r>
                    <w:rPr>
                      <w:rFonts w:ascii="黑体" w:hAnsi="黑体" w:eastAsia="黑体"/>
                      <w:b/>
                      <w:sz w:val="21"/>
                    </w:rPr>
                    <w:t>序号</w:t>
                  </w:r>
                </w:p>
              </w:tc>
              <w:tc>
                <w:tcPr>
                  <w:tcW w:type="dxa" w:w="2438"/>
                  <w:shd w:fill="DCE6F1" w:val="clear"/>
                </w:tcPr>
                <w:p>
                  <w:pPr>
                    <w:jc w:val="center"/>
                  </w:pPr>
                  <w:r/>
                  <w:r>
                    <w:rPr>
                      <w:rFonts w:ascii="黑体" w:hAnsi="黑体" w:eastAsia="黑体"/>
                      <w:b/>
                      <w:sz w:val="21"/>
                    </w:rPr>
                    <w:t>名称</w:t>
                  </w:r>
                </w:p>
              </w:tc>
              <w:tc>
                <w:tcPr>
                  <w:tcW w:type="dxa" w:w="2948"/>
                  <w:shd w:fill="DCE6F1" w:val="clear"/>
                </w:tcPr>
                <w:p>
                  <w:pPr>
                    <w:jc w:val="center"/>
                  </w:pPr>
                  <w:r/>
                  <w:r>
                    <w:rPr>
                      <w:rFonts w:ascii="黑体" w:hAnsi="黑体" w:eastAsia="黑体"/>
                      <w:b/>
                      <w:sz w:val="21"/>
                    </w:rPr>
                    <w:t>功能</w:t>
                  </w:r>
                </w:p>
              </w:tc>
              <w:tc>
                <w:tcPr>
                  <w:tcW w:type="dxa" w:w="680"/>
                  <w:shd w:fill="DCE6F1" w:val="clear"/>
                </w:tcPr>
                <w:p>
                  <w:pPr>
                    <w:jc w:val="center"/>
                  </w:pPr>
                  <w:r/>
                  <w:r>
                    <w:rPr>
                      <w:rFonts w:ascii="黑体" w:hAnsi="黑体" w:eastAsia="黑体"/>
                      <w:b/>
                      <w:sz w:val="21"/>
                    </w:rPr>
                    <w:t>数量</w:t>
                  </w:r>
                </w:p>
              </w:tc>
              <w:tc>
                <w:tcPr>
                  <w:tcW w:type="dxa" w:w="680"/>
                  <w:shd w:fill="DCE6F1" w:val="clear"/>
                </w:tcPr>
                <w:p>
                  <w:pPr>
                    <w:jc w:val="center"/>
                  </w:pPr>
                  <w:r/>
                  <w:r>
                    <w:rPr>
                      <w:rFonts w:ascii="黑体" w:hAnsi="黑体" w:eastAsia="黑体"/>
                      <w:b/>
                      <w:sz w:val="21"/>
                    </w:rPr>
                    <w:t>单位</w:t>
                  </w:r>
                </w:p>
              </w:tc>
              <w:tc>
                <w:tcPr>
                  <w:tcW w:type="dxa" w:w="2268"/>
                  <w:shd w:fill="DCE6F1" w:val="clear"/>
                </w:tcPr>
                <w:p>
                  <w:pPr>
                    <w:jc w:val="center"/>
                  </w:pPr>
                  <w:r/>
                  <w:r>
                    <w:rPr>
                      <w:rFonts w:ascii="黑体" w:hAnsi="黑体" w:eastAsia="黑体"/>
                      <w:b/>
                      <w:sz w:val="21"/>
                    </w:rPr>
                    <w:t>备注</w:t>
                  </w:r>
                </w:p>
              </w:tc>
            </w:tr>
            <w:tr>
              <w:tc>
                <w:tcPr>
                  <w:tcW w:type="dxa" w:w="624"/>
                </w:tcPr>
                <w:p>
                  <w:pPr>
                    <w:jc w:val="center"/>
                  </w:pPr>
                  <w:r/>
                  <w:r>
                    <w:rPr>
                      <w:rFonts w:ascii="仿宋_GB2312" w:hAnsi="仿宋_GB2312" w:eastAsia="仿宋_GB2312"/>
                      <w:b w:val="0"/>
                      <w:sz w:val="21"/>
                    </w:rPr>
                    <w:t>1</w:t>
                  </w:r>
                </w:p>
              </w:tc>
              <w:tc>
                <w:tcPr>
                  <w:tcW w:type="dxa" w:w="2438"/>
                </w:tcPr>
                <w:p>
                  <w:pPr>
                    <w:jc w:val="left"/>
                  </w:pPr>
                  <w:r/>
                  <w:r>
                    <w:rPr>
                      <w:rFonts w:ascii="仿宋_GB2312" w:hAnsi="仿宋_GB2312" w:eastAsia="仿宋_GB2312"/>
                      <w:b w:val="0"/>
                      <w:sz w:val="21"/>
                    </w:rPr>
                    <w:t>CyberCAM 视觉终端（嘉楠 K230）</w:t>
                  </w:r>
                </w:p>
              </w:tc>
              <w:tc>
                <w:tcPr>
                  <w:tcW w:type="dxa" w:w="2948"/>
                </w:tcPr>
                <w:p>
                  <w:pPr>
                    <w:jc w:val="left"/>
                  </w:pPr>
                  <w:r/>
                  <w:r>
                    <w:rPr>
                      <w:rFonts w:ascii="仿宋_GB2312" w:hAnsi="仿宋_GB2312" w:eastAsia="仿宋_GB2312"/>
                      <w:b w:val="0"/>
                      <w:sz w:val="21"/>
                    </w:rPr>
                    <w:t>图像采集、人脸检测与识别、五类参考卡匹配、触摸交互与本地播报</w:t>
                  </w:r>
                </w:p>
              </w:tc>
              <w:tc>
                <w:tcPr>
                  <w:tcW w:type="dxa" w:w="680"/>
                </w:tcPr>
                <w:p>
                  <w:pPr>
                    <w:jc w:val="center"/>
                  </w:pPr>
                  <w:r/>
                  <w:r>
                    <w:rPr>
                      <w:rFonts w:ascii="仿宋_GB2312" w:hAnsi="仿宋_GB2312" w:eastAsia="仿宋_GB2312"/>
                      <w:b w:val="0"/>
                      <w:sz w:val="21"/>
                    </w:rPr>
                    <w:t>1</w:t>
                  </w:r>
                </w:p>
              </w:tc>
              <w:tc>
                <w:tcPr>
                  <w:tcW w:type="dxa" w:w="680"/>
                </w:tcPr>
                <w:p>
                  <w:pPr>
                    <w:jc w:val="center"/>
                  </w:pPr>
                  <w:r/>
                  <w:r>
                    <w:rPr>
                      <w:rFonts w:ascii="仿宋_GB2312" w:hAnsi="仿宋_GB2312" w:eastAsia="仿宋_GB2312"/>
                      <w:b w:val="0"/>
                      <w:sz w:val="21"/>
                    </w:rPr>
                    <w:t>块</w:t>
                  </w:r>
                </w:p>
              </w:tc>
              <w:tc>
                <w:tcPr>
                  <w:tcW w:type="dxa" w:w="2268"/>
                </w:tcPr>
                <w:p>
                  <w:pPr>
                    <w:jc w:val="left"/>
                  </w:pPr>
                  <w:r/>
                  <w:r>
                    <w:rPr>
                      <w:rFonts w:ascii="仿宋_GB2312" w:hAnsi="仿宋_GB2312" w:eastAsia="仿宋_GB2312"/>
                      <w:b w:val="0"/>
                      <w:sz w:val="21"/>
                    </w:rPr>
                    <w:t>含640×480触摸屏与摄像头</w:t>
                  </w:r>
                </w:p>
              </w:tc>
            </w:tr>
            <w:tr>
              <w:tc>
                <w:tcPr>
                  <w:tcW w:type="dxa" w:w="624"/>
                </w:tcPr>
                <w:p>
                  <w:pPr>
                    <w:jc w:val="center"/>
                  </w:pPr>
                  <w:r/>
                  <w:r>
                    <w:rPr>
                      <w:rFonts w:ascii="仿宋_GB2312" w:hAnsi="仿宋_GB2312" w:eastAsia="仿宋_GB2312"/>
                      <w:b w:val="0"/>
                      <w:sz w:val="21"/>
                    </w:rPr>
                    <w:t>2</w:t>
                  </w:r>
                </w:p>
              </w:tc>
              <w:tc>
                <w:tcPr>
                  <w:tcW w:type="dxa" w:w="2438"/>
                </w:tcPr>
                <w:p>
                  <w:pPr>
                    <w:jc w:val="left"/>
                  </w:pPr>
                  <w:r/>
                  <w:r>
                    <w:rPr>
                      <w:rFonts w:ascii="仿宋_GB2312" w:hAnsi="仿宋_GB2312" w:eastAsia="仿宋_GB2312"/>
                      <w:b w:val="0"/>
                      <w:sz w:val="21"/>
                    </w:rPr>
                    <w:t>行空板 K10</w:t>
                  </w:r>
                </w:p>
              </w:tc>
              <w:tc>
                <w:tcPr>
                  <w:tcW w:type="dxa" w:w="2948"/>
                </w:tcPr>
                <w:p>
                  <w:pPr>
                    <w:jc w:val="left"/>
                  </w:pPr>
                  <w:r/>
                  <w:r>
                    <w:rPr>
                      <w:rFonts w:ascii="仿宋_GB2312" w:hAnsi="仿宋_GB2312" w:eastAsia="仿宋_GB2312"/>
                      <w:b w:val="0"/>
                      <w:sz w:val="21"/>
                    </w:rPr>
                    <w:t>离线关键词识别、关卡与语言控制、状态显示</w:t>
                  </w:r>
                </w:p>
              </w:tc>
              <w:tc>
                <w:tcPr>
                  <w:tcW w:type="dxa" w:w="680"/>
                </w:tcPr>
                <w:p>
                  <w:pPr>
                    <w:jc w:val="center"/>
                  </w:pPr>
                  <w:r/>
                  <w:r>
                    <w:rPr>
                      <w:rFonts w:ascii="仿宋_GB2312" w:hAnsi="仿宋_GB2312" w:eastAsia="仿宋_GB2312"/>
                      <w:b w:val="0"/>
                      <w:sz w:val="21"/>
                    </w:rPr>
                    <w:t>1</w:t>
                  </w:r>
                </w:p>
              </w:tc>
              <w:tc>
                <w:tcPr>
                  <w:tcW w:type="dxa" w:w="680"/>
                </w:tcPr>
                <w:p>
                  <w:pPr>
                    <w:jc w:val="center"/>
                  </w:pPr>
                  <w:r/>
                  <w:r>
                    <w:rPr>
                      <w:rFonts w:ascii="仿宋_GB2312" w:hAnsi="仿宋_GB2312" w:eastAsia="仿宋_GB2312"/>
                      <w:b w:val="0"/>
                      <w:sz w:val="21"/>
                    </w:rPr>
                    <w:t>块</w:t>
                  </w:r>
                </w:p>
              </w:tc>
              <w:tc>
                <w:tcPr>
                  <w:tcW w:type="dxa" w:w="2268"/>
                </w:tcPr>
                <w:p>
                  <w:pPr>
                    <w:jc w:val="left"/>
                  </w:pPr>
                  <w:r/>
                  <w:r>
                    <w:rPr>
                      <w:rFonts w:ascii="仿宋_GB2312" w:hAnsi="仿宋_GB2312" w:eastAsia="仿宋_GB2312"/>
                      <w:b w:val="0"/>
                      <w:sz w:val="21"/>
                    </w:rPr>
                    <w:t>语音命令与按键</w:t>
                  </w:r>
                </w:p>
              </w:tc>
            </w:tr>
            <w:tr>
              <w:tc>
                <w:tcPr>
                  <w:tcW w:type="dxa" w:w="624"/>
                </w:tcPr>
                <w:p>
                  <w:pPr>
                    <w:jc w:val="center"/>
                  </w:pPr>
                  <w:r/>
                  <w:r>
                    <w:rPr>
                      <w:rFonts w:ascii="仿宋_GB2312" w:hAnsi="仿宋_GB2312" w:eastAsia="仿宋_GB2312"/>
                      <w:b w:val="0"/>
                      <w:sz w:val="21"/>
                    </w:rPr>
                    <w:t>3</w:t>
                  </w:r>
                </w:p>
              </w:tc>
              <w:tc>
                <w:tcPr>
                  <w:tcW w:type="dxa" w:w="2438"/>
                </w:tcPr>
                <w:p>
                  <w:pPr>
                    <w:jc w:val="left"/>
                  </w:pPr>
                  <w:r/>
                  <w:r>
                    <w:rPr>
                      <w:rFonts w:ascii="仿宋_GB2312" w:hAnsi="仿宋_GB2312" w:eastAsia="仿宋_GB2312"/>
                      <w:b w:val="0"/>
                      <w:sz w:val="21"/>
                    </w:rPr>
                    <w:t>微型计算机</w:t>
                  </w:r>
                </w:p>
              </w:tc>
              <w:tc>
                <w:tcPr>
                  <w:tcW w:type="dxa" w:w="2948"/>
                </w:tcPr>
                <w:p>
                  <w:pPr>
                    <w:jc w:val="left"/>
                  </w:pPr>
                  <w:r/>
                  <w:r>
                    <w:rPr>
                      <w:rFonts w:ascii="仿宋_GB2312" w:hAnsi="仿宋_GB2312" w:eastAsia="仿宋_GB2312"/>
                      <w:b w:val="0"/>
                      <w:sz w:val="21"/>
                    </w:rPr>
                    <w:t>运行三维网页、Flask服务及消息桥</w:t>
                  </w:r>
                </w:p>
              </w:tc>
              <w:tc>
                <w:tcPr>
                  <w:tcW w:type="dxa" w:w="680"/>
                </w:tcPr>
                <w:p>
                  <w:pPr>
                    <w:jc w:val="center"/>
                  </w:pPr>
                  <w:r/>
                  <w:r>
                    <w:rPr>
                      <w:rFonts w:ascii="仿宋_GB2312" w:hAnsi="仿宋_GB2312" w:eastAsia="仿宋_GB2312"/>
                      <w:b w:val="0"/>
                      <w:sz w:val="21"/>
                    </w:rPr>
                    <w:t>1</w:t>
                  </w:r>
                </w:p>
              </w:tc>
              <w:tc>
                <w:tcPr>
                  <w:tcW w:type="dxa" w:w="680"/>
                </w:tcPr>
                <w:p>
                  <w:pPr>
                    <w:jc w:val="center"/>
                  </w:pPr>
                  <w:r/>
                  <w:r>
                    <w:rPr>
                      <w:rFonts w:ascii="仿宋_GB2312" w:hAnsi="仿宋_GB2312" w:eastAsia="仿宋_GB2312"/>
                      <w:b w:val="0"/>
                      <w:sz w:val="21"/>
                    </w:rPr>
                    <w:t>台</w:t>
                  </w:r>
                </w:p>
              </w:tc>
              <w:tc>
                <w:tcPr>
                  <w:tcW w:type="dxa" w:w="2268"/>
                </w:tcPr>
                <w:p>
                  <w:pPr>
                    <w:jc w:val="left"/>
                  </w:pPr>
                  <w:r/>
                  <w:r>
                    <w:rPr>
                      <w:rFonts w:ascii="仿宋_GB2312" w:hAnsi="仿宋_GB2312" w:eastAsia="仿宋_GB2312"/>
                      <w:b w:val="0"/>
                      <w:sz w:val="21"/>
                    </w:rPr>
                    <w:t>普通笔记本</w:t>
                  </w:r>
                </w:p>
              </w:tc>
            </w:tr>
            <w:tr>
              <w:tc>
                <w:tcPr>
                  <w:tcW w:type="dxa" w:w="624"/>
                </w:tcPr>
                <w:p>
                  <w:pPr>
                    <w:jc w:val="center"/>
                  </w:pPr>
                  <w:r/>
                  <w:r>
                    <w:rPr>
                      <w:rFonts w:ascii="仿宋_GB2312" w:hAnsi="仿宋_GB2312" w:eastAsia="仿宋_GB2312"/>
                      <w:b w:val="0"/>
                      <w:sz w:val="21"/>
                    </w:rPr>
                    <w:t>4</w:t>
                  </w:r>
                </w:p>
              </w:tc>
              <w:tc>
                <w:tcPr>
                  <w:tcW w:type="dxa" w:w="2438"/>
                </w:tcPr>
                <w:p>
                  <w:pPr>
                    <w:jc w:val="left"/>
                  </w:pPr>
                  <w:r/>
                  <w:r>
                    <w:rPr>
                      <w:rFonts w:ascii="仿宋_GB2312" w:hAnsi="仿宋_GB2312" w:eastAsia="仿宋_GB2312"/>
                      <w:b w:val="0"/>
                      <w:sz w:val="21"/>
                    </w:rPr>
                    <w:t>无线路由器</w:t>
                  </w:r>
                </w:p>
              </w:tc>
              <w:tc>
                <w:tcPr>
                  <w:tcW w:type="dxa" w:w="2948"/>
                </w:tcPr>
                <w:p>
                  <w:pPr>
                    <w:jc w:val="left"/>
                  </w:pPr>
                  <w:r/>
                  <w:r>
                    <w:rPr>
                      <w:rFonts w:ascii="仿宋_GB2312" w:hAnsi="仿宋_GB2312" w:eastAsia="仿宋_GB2312"/>
                      <w:b w:val="0"/>
                      <w:sz w:val="21"/>
                    </w:rPr>
                    <w:t>构建局域网，承载三端消息通信</w:t>
                  </w:r>
                </w:p>
              </w:tc>
              <w:tc>
                <w:tcPr>
                  <w:tcW w:type="dxa" w:w="680"/>
                </w:tcPr>
                <w:p>
                  <w:pPr>
                    <w:jc w:val="center"/>
                  </w:pPr>
                  <w:r/>
                  <w:r>
                    <w:rPr>
                      <w:rFonts w:ascii="仿宋_GB2312" w:hAnsi="仿宋_GB2312" w:eastAsia="仿宋_GB2312"/>
                      <w:b w:val="0"/>
                      <w:sz w:val="21"/>
                    </w:rPr>
                    <w:t>1</w:t>
                  </w:r>
                </w:p>
              </w:tc>
              <w:tc>
                <w:tcPr>
                  <w:tcW w:type="dxa" w:w="680"/>
                </w:tcPr>
                <w:p>
                  <w:pPr>
                    <w:jc w:val="center"/>
                  </w:pPr>
                  <w:r/>
                  <w:r>
                    <w:rPr>
                      <w:rFonts w:ascii="仿宋_GB2312" w:hAnsi="仿宋_GB2312" w:eastAsia="仿宋_GB2312"/>
                      <w:b w:val="0"/>
                      <w:sz w:val="21"/>
                    </w:rPr>
                    <w:t>台</w:t>
                  </w:r>
                </w:p>
              </w:tc>
              <w:tc>
                <w:tcPr>
                  <w:tcW w:type="dxa" w:w="2268"/>
                </w:tcPr>
                <w:p>
                  <w:pPr>
                    <w:jc w:val="left"/>
                  </w:pPr>
                  <w:r/>
                  <w:r>
                    <w:rPr>
                      <w:rFonts w:ascii="仿宋_GB2312" w:hAnsi="仿宋_GB2312" w:eastAsia="仿宋_GB2312"/>
                      <w:b w:val="0"/>
                      <w:sz w:val="21"/>
                    </w:rPr>
                    <w:t>现场部署</w:t>
                  </w:r>
                </w:p>
              </w:tc>
            </w:tr>
            <w:tr>
              <w:tc>
                <w:tcPr>
                  <w:tcW w:type="dxa" w:w="624"/>
                </w:tcPr>
                <w:p>
                  <w:pPr>
                    <w:jc w:val="center"/>
                  </w:pPr>
                  <w:r/>
                  <w:r>
                    <w:rPr>
                      <w:rFonts w:ascii="仿宋_GB2312" w:hAnsi="仿宋_GB2312" w:eastAsia="仿宋_GB2312"/>
                      <w:b w:val="0"/>
                      <w:sz w:val="21"/>
                    </w:rPr>
                    <w:t>5</w:t>
                  </w:r>
                </w:p>
              </w:tc>
              <w:tc>
                <w:tcPr>
                  <w:tcW w:type="dxa" w:w="2438"/>
                </w:tcPr>
                <w:p>
                  <w:pPr>
                    <w:jc w:val="left"/>
                  </w:pPr>
                  <w:r/>
                  <w:r>
                    <w:rPr>
                      <w:rFonts w:ascii="仿宋_GB2312" w:hAnsi="仿宋_GB2312" w:eastAsia="仿宋_GB2312"/>
                      <w:b w:val="0"/>
                      <w:sz w:val="21"/>
                    </w:rPr>
                    <w:t>五类打印参考卡</w:t>
                  </w:r>
                </w:p>
              </w:tc>
              <w:tc>
                <w:tcPr>
                  <w:tcW w:type="dxa" w:w="2948"/>
                </w:tcPr>
                <w:p>
                  <w:pPr>
                    <w:jc w:val="left"/>
                  </w:pPr>
                  <w:r/>
                  <w:r>
                    <w:rPr>
                      <w:rFonts w:ascii="仿宋_GB2312" w:hAnsi="仿宋_GB2312" w:eastAsia="仿宋_GB2312"/>
                      <w:b w:val="0"/>
                      <w:sz w:val="21"/>
                    </w:rPr>
                    <w:t>提供厚街粤绣、厚街双手洪拳、鳌鱼砖、莞草编织、清溪麒麟扎作的静态图像匹配素材</w:t>
                  </w:r>
                </w:p>
              </w:tc>
              <w:tc>
                <w:tcPr>
                  <w:tcW w:type="dxa" w:w="680"/>
                </w:tcPr>
                <w:p>
                  <w:pPr>
                    <w:jc w:val="center"/>
                  </w:pPr>
                  <w:r/>
                  <w:r>
                    <w:rPr>
                      <w:rFonts w:ascii="仿宋_GB2312" w:hAnsi="仿宋_GB2312" w:eastAsia="仿宋_GB2312"/>
                      <w:b w:val="0"/>
                      <w:sz w:val="21"/>
                    </w:rPr>
                    <w:t>5</w:t>
                  </w:r>
                </w:p>
              </w:tc>
              <w:tc>
                <w:tcPr>
                  <w:tcW w:type="dxa" w:w="680"/>
                </w:tcPr>
                <w:p>
                  <w:pPr>
                    <w:jc w:val="center"/>
                  </w:pPr>
                  <w:r/>
                  <w:r>
                    <w:rPr>
                      <w:rFonts w:ascii="仿宋_GB2312" w:hAnsi="仿宋_GB2312" w:eastAsia="仿宋_GB2312"/>
                      <w:b w:val="0"/>
                      <w:sz w:val="21"/>
                    </w:rPr>
                    <w:t>张</w:t>
                  </w:r>
                </w:p>
              </w:tc>
              <w:tc>
                <w:tcPr>
                  <w:tcW w:type="dxa" w:w="2268"/>
                </w:tcPr>
                <w:p>
                  <w:pPr>
                    <w:jc w:val="left"/>
                  </w:pPr>
                  <w:r/>
                  <w:r>
                    <w:rPr>
                      <w:rFonts w:ascii="仿宋_GB2312" w:hAnsi="仿宋_GB2312" w:eastAsia="仿宋_GB2312"/>
                      <w:b w:val="0"/>
                      <w:sz w:val="21"/>
                    </w:rPr>
                    <w:t>参考卡，非当地实物认定</w:t>
                  </w:r>
                </w:p>
              </w:tc>
            </w:tr>
            <w:tr>
              <w:tc>
                <w:tcPr>
                  <w:tcW w:type="dxa" w:w="624"/>
                </w:tcPr>
                <w:p>
                  <w:pPr>
                    <w:jc w:val="center"/>
                  </w:pPr>
                  <w:r/>
                  <w:r>
                    <w:rPr>
                      <w:rFonts w:ascii="仿宋_GB2312" w:hAnsi="仿宋_GB2312" w:eastAsia="仿宋_GB2312"/>
                      <w:b w:val="0"/>
                      <w:sz w:val="21"/>
                    </w:rPr>
                    <w:t>6</w:t>
                  </w:r>
                </w:p>
              </w:tc>
              <w:tc>
                <w:tcPr>
                  <w:tcW w:type="dxa" w:w="2438"/>
                </w:tcPr>
                <w:p>
                  <w:pPr>
                    <w:jc w:val="left"/>
                  </w:pPr>
                  <w:r/>
                  <w:r>
                    <w:rPr>
                      <w:rFonts w:ascii="仿宋_GB2312" w:hAnsi="仿宋_GB2312" w:eastAsia="仿宋_GB2312"/>
                      <w:b w:val="0"/>
                      <w:sz w:val="21"/>
                    </w:rPr>
                    <w:t>可调支架与遮光片</w:t>
                  </w:r>
                </w:p>
              </w:tc>
              <w:tc>
                <w:tcPr>
                  <w:tcW w:type="dxa" w:w="2948"/>
                </w:tcPr>
                <w:p>
                  <w:pPr>
                    <w:jc w:val="left"/>
                  </w:pPr>
                  <w:r/>
                  <w:r>
                    <w:rPr>
                      <w:rFonts w:ascii="仿宋_GB2312" w:hAnsi="仿宋_GB2312" w:eastAsia="仿宋_GB2312"/>
                      <w:b w:val="0"/>
                      <w:sz w:val="21"/>
                    </w:rPr>
                    <w:t>固定视觉终端、调整视角并减少卡面反光</w:t>
                  </w:r>
                </w:p>
              </w:tc>
              <w:tc>
                <w:tcPr>
                  <w:tcW w:type="dxa" w:w="680"/>
                </w:tcPr>
                <w:p>
                  <w:pPr>
                    <w:jc w:val="center"/>
                  </w:pPr>
                  <w:r/>
                  <w:r>
                    <w:rPr>
                      <w:rFonts w:ascii="仿宋_GB2312" w:hAnsi="仿宋_GB2312" w:eastAsia="仿宋_GB2312"/>
                      <w:b w:val="0"/>
                      <w:sz w:val="21"/>
                    </w:rPr>
                    <w:t>1</w:t>
                  </w:r>
                </w:p>
              </w:tc>
              <w:tc>
                <w:tcPr>
                  <w:tcW w:type="dxa" w:w="680"/>
                </w:tcPr>
                <w:p>
                  <w:pPr>
                    <w:jc w:val="center"/>
                  </w:pPr>
                  <w:r/>
                  <w:r>
                    <w:rPr>
                      <w:rFonts w:ascii="仿宋_GB2312" w:hAnsi="仿宋_GB2312" w:eastAsia="仿宋_GB2312"/>
                      <w:b w:val="0"/>
                      <w:sz w:val="21"/>
                    </w:rPr>
                    <w:t>套</w:t>
                  </w:r>
                </w:p>
              </w:tc>
              <w:tc>
                <w:tcPr>
                  <w:tcW w:type="dxa" w:w="2268"/>
                </w:tcPr>
                <w:p>
                  <w:pPr>
                    <w:jc w:val="left"/>
                  </w:pPr>
                  <w:r/>
                  <w:r>
                    <w:rPr>
                      <w:rFonts w:ascii="仿宋_GB2312" w:hAnsi="仿宋_GB2312" w:eastAsia="仿宋_GB2312"/>
                      <w:b w:val="0"/>
                      <w:sz w:val="21"/>
                    </w:rPr>
                    <w:t>自制外观件</w:t>
                  </w:r>
                </w:p>
              </w:tc>
            </w:tr>
          </w:tbl>
          <w:p/>
        </w:tc>
      </w:tr>
      <w:tr w14:paraId="0211A935">
        <w:trPr>
          <w:trHeight w:val="1848" w:hRule="atLeast"/>
        </w:trPr>
        <w:tc>
          <w:tcPr>
            <w:tcW w:w="8522" w:type="dxa"/>
            <w:gridSpan w:val="2"/>
          </w:tcPr>
          <w:p>
            <w:r/>
            <w:r>
              <w:rPr>
                <w:rFonts w:ascii="黑体" w:hAnsi="黑体" w:eastAsia="黑体"/>
                <w:b/>
                <w:sz w:val="21"/>
              </w:rPr>
              <w:t>九．备注</w:t>
            </w:r>
          </w:p>
          <w:p>
            <w:r>
              <w:rPr>
                <w:rFonts w:ascii="仿宋_GB2312" w:hAnsi="仿宋_GB2312" w:eastAsia="仿宋_GB2312"/>
                <w:b w:val="0"/>
                <w:sz w:val="22"/>
              </w:rPr>
              <w:t>本查新报告检索范围限于国家知识产权局公开专利库、中国知网（CNKI）、万方数据库及维普网收录的公开文献。文献题名、作者与来源以公开出版信息核对为准；检索时限为2015年1月至2026年10月。受当前网络检索条件限制，专利部分的完整法律状态与权利要求未逐件复核，相关结论仅对本次检索和所列查新点负责。</w:t>
            </w:r>
          </w:p>
        </w:tc>
      </w:tr>
    </w:tbl>
    <w:p w14:paraId="447F03E2">
      <w:pPr>
        <w:widowControl/>
        <w:spacing w:line="200" w:lineRule="exact"/>
        <w:jc w:val="left"/>
        <w:rPr>
          <w:rFonts w:hint="eastAsia" w:ascii="Liberation Serif" w:hAnsi="Liberation Serif" w:eastAsia="宋体" w:cs="Noto Sans Devanagari"/>
          <w:color w:val="00000A"/>
          <w:kern w:val="0"/>
          <w:sz w:val="20"/>
          <w:szCs w:val="20"/>
          <w:lang w:bidi="hi-IN"/>
        </w:rPr>
      </w:pPr>
    </w:p>
    <w:sectPr>
      <w:headerReference r:id="rId3" w:type="default"/>
      <w:footerReference r:id="rId4" w:type="default"/>
      <w:pgSz w:w="11906" w:h="16838"/>
      <w:pgMar w:top="1361" w:right="1202" w:bottom="1361" w:left="1202"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Noto Sans Devanagari">
    <w:altName w:val="苹方-简"/>
    <w:panose1 w:val="00000000000000000000"/>
    <w:charset w:val="00"/>
    <w:family w:val="swiss"/>
    <w:pitch w:val="default"/>
    <w:sig w:usb0="00000000" w:usb1="00000000" w:usb2="00000000" w:usb3="00000000" w:csb0="00000001" w:csb1="00000000"/>
  </w:font>
  <w:font w:name="Segoe Print">
    <w:altName w:val="苹方-简"/>
    <w:panose1 w:val="02000600000000000000"/>
    <w:charset w:val="00"/>
    <w:family w:val="auto"/>
    <w:pitch w:val="default"/>
    <w:sig w:usb0="00000000" w:usb1="00000000" w:usb2="00000000" w:usb3="00000000" w:csb0="2000009F" w:csb1="47010000"/>
  </w:font>
  <w:font w:name="Courier New">
    <w:panose1 w:val="02070409020205090404"/>
    <w:charset w:val="00"/>
    <w:family w:val="modern"/>
    <w:pitch w:val="default"/>
    <w:sig w:usb0="E0000AFF" w:usb1="40007843" w:usb2="00000001" w:usb3="00000000" w:csb0="400001BF" w:csb1="DFF70000"/>
  </w:font>
  <w:font w:name="TCXiaoBiaoSong-B05S">
    <w:altName w:val="苹方-简"/>
    <w:panose1 w:val="00000000000000000000"/>
    <w:charset w:val="86"/>
    <w:family w:val="swiss"/>
    <w:pitch w:val="default"/>
    <w:sig w:usb0="00000000" w:usb1="00000000" w:usb2="00000010" w:usb3="00000000" w:csb0="00040000" w:csb1="00000000"/>
  </w:font>
  <w:font w:name="Liberation Sans">
    <w:altName w:val="Thonburi"/>
    <w:panose1 w:val="00000000000000000000"/>
    <w:charset w:val="01"/>
    <w:family w:val="swiss"/>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Noto Sans CJK JP Regular">
    <w:altName w:val="苹方-简"/>
    <w:panose1 w:val="00000000000000000000"/>
    <w:charset w:val="00"/>
    <w:family w:val="auto"/>
    <w:pitch w:val="default"/>
    <w:sig w:usb0="00000000" w:usb1="00000000" w:usb2="00000000" w:usb3="00000000" w:csb0="00000000" w:csb1="00000000"/>
  </w:font>
  <w:font w:name="Mangal">
    <w:altName w:val="Arial Unicode MS"/>
    <w:panose1 w:val="00000400000000000000"/>
    <w:charset w:val="00"/>
    <w:family w:val="roman"/>
    <w:pitch w:val="default"/>
    <w:sig w:usb0="00000000" w:usb1="00000000" w:usb2="00000000" w:usb3="00000000" w:csb0="00000001" w:csb1="00000000"/>
  </w:font>
  <w:font w:name="仿宋_GB2312">
    <w:panose1 w:val="02010609030101010101"/>
    <w:charset w:val="86"/>
    <w:family w:val="auto"/>
    <w:pitch w:val="default"/>
    <w:sig w:usb0="00000001" w:usb1="080E0000" w:usb2="00000000" w:usb3="00000000" w:csb0="00040000" w:csb1="00000000"/>
  </w:font>
  <w:font w:name="方正小标宋简体">
    <w:panose1 w:val="02000000000000000000"/>
    <w:charset w:val="86"/>
    <w:family w:val="script"/>
    <w:pitch w:val="default"/>
    <w:sig w:usb0="00000001" w:usb1="08000000" w:usb2="00000000" w:usb3="00000000" w:csb0="00040000" w:csb1="00000000"/>
  </w:font>
  <w:font w:name="仿宋">
    <w:altName w:val="方正仿宋_GBK"/>
    <w:panose1 w:val="02010609060101010101"/>
    <w:charset w:val="86"/>
    <w:family w:val="modern"/>
    <w:pitch w:val="default"/>
    <w:sig w:usb0="00000000" w:usb1="00000000"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微软雅黑">
    <w:altName w:val="方正雅意黑 GB18030L2"/>
    <w:panose1 w:val="020B0503020204020204"/>
    <w:charset w:val="86"/>
    <w:family w:val="swiss"/>
    <w:pitch w:val="default"/>
    <w:sig w:usb0="00000000" w:usb1="00000000" w:usb2="00000016" w:usb3="00000000" w:csb0="0004001F" w:csb1="00000000"/>
  </w:font>
  <w:font w:name="undefined">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方正雅意黑 GB18030L2">
    <w:panose1 w:val="02000500000000000000"/>
    <w:charset w:val="86"/>
    <w:family w:val="auto"/>
    <w:pitch w:val="default"/>
    <w:sig w:usb0="E00002FF" w:usb1="38CFFCFB" w:usb2="00000016" w:usb3="00000000" w:csb0="6004019F" w:csb1="DFD7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Thonburi">
    <w:panose1 w:val="00000400000000000000"/>
    <w:charset w:val="00"/>
    <w:family w:val="auto"/>
    <w:pitch w:val="default"/>
    <w:sig w:usb0="01000000" w:usb1="00000000" w:usb2="00000000" w:usb3="00000000" w:csb0="20000193" w:csb1="4D000000"/>
  </w:font>
  <w:font w:name="Arial Unicode MS">
    <w:panose1 w:val="020B0604020202020204"/>
    <w:charset w:val="86"/>
    <w:family w:val="auto"/>
    <w:pitch w:val="default"/>
    <w:sig w:usb0="FFFFFFFF" w:usb1="E9FFFFFF" w:usb2="0000003F" w:usb3="00000000" w:csb0="603F01FF" w:csb1="FFFF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5580897"/>
    </w:sdtPr>
    <w:sdtContent>
      <w:sdt>
        <w:sdtPr>
          <w:id w:val="1728636285"/>
        </w:sdtPr>
        <w:sdtContent>
          <w:p w14:paraId="09AC4612">
            <w:pPr>
              <w:pStyle w:val="8"/>
              <w:jc w:val="center"/>
            </w:pPr>
            <w:r>
              <w:rPr>
                <w:lang w:val="zh-CN"/>
              </w:rPr>
              <w:t xml:space="preserve"> </w:t>
            </w:r>
            <w:r>
              <w:rPr>
                <w:b/>
                <w:bCs/>
                <w:sz w:val="24"/>
                <w:szCs w:val="24"/>
              </w:rPr>
              <w:fldChar w:fldCharType="begin"/>
            </w:r>
            <w:r>
              <w:rPr>
                <w:b/>
                <w:bCs/>
              </w:rPr>
              <w:instrText xml:space="preserve">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 xml:space="preserve">NUMPAGES</w:instrText>
            </w:r>
            <w:r>
              <w:rPr>
                <w:b/>
                <w:bCs/>
                <w:sz w:val="24"/>
                <w:szCs w:val="24"/>
              </w:rPr>
              <w:fldChar w:fldCharType="separate"/>
            </w:r>
            <w:r>
              <w:rPr>
                <w:b/>
                <w:bCs/>
                <w:lang w:val="zh-CN"/>
              </w:rPr>
              <w:t>2</w:t>
            </w:r>
            <w:r>
              <w:rPr>
                <w:b/>
                <w:bCs/>
                <w:sz w:val="24"/>
                <w:szCs w:val="24"/>
              </w:rPr>
              <w:fldChar w:fldCharType="end"/>
            </w:r>
          </w:p>
        </w:sdtContent>
      </w:sdt>
    </w:sdtContent>
  </w:sdt>
  <w:p w14:paraId="4618B047">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8537BB">
    <w:pPr>
      <w:pStyle w:val="9"/>
      <w:pBdr>
        <w:bottom w:val="none" w:color="auto" w:sz="0" w:space="0"/>
      </w:pBdr>
      <w:jc w:val="both"/>
    </w:pPr>
    <w:r>
      <w:rPr>
        <w:rFonts w:hint="eastAsia"/>
        <w:u w:val="single"/>
      </w:rPr>
      <w:t>202</w:t>
    </w:r>
    <w:r>
      <w:rPr>
        <w:rFonts w:hint="eastAsia"/>
        <w:u w:val="single"/>
        <w:lang w:val="en-US" w:eastAsia="zh-CN"/>
      </w:rPr>
      <w:t>6</w:t>
    </w:r>
    <w:r>
      <w:rPr>
        <w:rFonts w:hint="eastAsia"/>
        <w:u w:val="single"/>
      </w:rPr>
      <w:t xml:space="preserve">年东莞市青少年科技创新大赛资料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F3939E"/>
    <w:multiLevelType w:val="singleLevel"/>
    <w:tmpl w:val="99F3939E"/>
    <w:lvl w:ilvl="0" w:tentative="0">
      <w:start w:val="1"/>
      <w:numFmt w:val="decimal"/>
      <w:lvlText w:val="%1."/>
      <w:lvlJc w:val="left"/>
      <w:pPr>
        <w:tabs>
          <w:tab w:val="left" w:pos="312"/>
        </w:tabs>
      </w:pPr>
    </w:lvl>
  </w:abstractNum>
  <w:abstractNum w:abstractNumId="1">
    <w:nsid w:val="D7FFEAE6"/>
    <w:multiLevelType w:val="singleLevel"/>
    <w:tmpl w:val="D7FFEAE6"/>
    <w:lvl w:ilvl="0" w:tentative="0">
      <w:start w:val="1"/>
      <w:numFmt w:val="decimal"/>
      <w:lvlText w:val="%1."/>
      <w:lvlJc w:val="left"/>
      <w:pPr>
        <w:tabs>
          <w:tab w:val="left" w:pos="312"/>
        </w:tabs>
      </w:pPr>
    </w:lvl>
  </w:abstractNum>
  <w:abstractNum w:abstractNumId="2">
    <w:nsid w:val="F52AC76D"/>
    <w:multiLevelType w:val="singleLevel"/>
    <w:tmpl w:val="F52AC76D"/>
    <w:lvl w:ilvl="0" w:tentative="0">
      <w:start w:val="1"/>
      <w:numFmt w:val="decimal"/>
      <w:suff w:val="space"/>
      <w:lvlText w:val="%1."/>
      <w:lvlJc w:val="left"/>
    </w:lvl>
  </w:abstractNum>
  <w:abstractNum w:abstractNumId="3">
    <w:nsid w:val="FDE913AA"/>
    <w:multiLevelType w:val="singleLevel"/>
    <w:tmpl w:val="FDE913AA"/>
    <w:lvl w:ilvl="0" w:tentative="0">
      <w:start w:val="1"/>
      <w:numFmt w:val="decimal"/>
      <w:suff w:val="space"/>
      <w:lvlText w:val="%1."/>
      <w:lvlJc w:val="left"/>
    </w:lvl>
  </w:abstractNum>
  <w:abstractNum w:abstractNumId="4">
    <w:nsid w:val="07DD5691"/>
    <w:multiLevelType w:val="singleLevel"/>
    <w:tmpl w:val="07DD5691"/>
    <w:lvl w:ilvl="0" w:tentative="0">
      <w:start w:val="8"/>
      <w:numFmt w:val="chineseCounting"/>
      <w:suff w:val="nothing"/>
      <w:lvlText w:val="%1．"/>
      <w:lvlJc w:val="left"/>
      <w:rPr>
        <w:rFonts w:hint="eastAsia"/>
      </w:rPr>
    </w:lvl>
  </w:abstractNum>
  <w:abstractNum w:abstractNumId="5">
    <w:nsid w:val="2DF5424C"/>
    <w:multiLevelType w:val="multilevel"/>
    <w:tmpl w:val="2DF5424C"/>
    <w:lvl w:ilvl="0" w:tentative="0">
      <w:start w:val="1"/>
      <w:numFmt w:val="japaneseCounting"/>
      <w:lvlText w:val="%1."/>
      <w:lvlJc w:val="left"/>
      <w:pPr>
        <w:tabs>
          <w:tab w:val="left" w:pos="360"/>
        </w:tabs>
        <w:ind w:left="360" w:hanging="36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3B2C3488"/>
    <w:multiLevelType w:val="multilevel"/>
    <w:tmpl w:val="3B2C3488"/>
    <w:lvl w:ilvl="0" w:tentative="0">
      <w:start w:val="1"/>
      <w:numFmt w:val="decimal"/>
      <w:lvlText w:val="（%1）"/>
      <w:lvlJc w:val="left"/>
      <w:pPr>
        <w:tabs>
          <w:tab w:val="left" w:pos="720"/>
        </w:tabs>
        <w:ind w:left="720" w:hanging="720"/>
      </w:pPr>
      <w:rPr>
        <w:rFonts w:hint="eastAsia"/>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7">
    <w:nsid w:val="5D0F13AE"/>
    <w:multiLevelType w:val="singleLevel"/>
    <w:tmpl w:val="5D0F13AE"/>
    <w:lvl w:ilvl="0" w:tentative="0">
      <w:start w:val="1"/>
      <w:numFmt w:val="decimal"/>
      <w:suff w:val="space"/>
      <w:lvlText w:val="%1."/>
      <w:lvlJc w:val="left"/>
    </w:lvl>
  </w:abstractNum>
  <w:abstractNum w:abstractNumId="8">
    <w:nsid w:val="5EFE4650"/>
    <w:multiLevelType w:val="singleLevel"/>
    <w:tmpl w:val="5EFE4650"/>
    <w:lvl w:ilvl="0" w:tentative="0">
      <w:start w:val="1"/>
      <w:numFmt w:val="decimal"/>
      <w:suff w:val="nothing"/>
      <w:lvlText w:val="（%1）"/>
      <w:lvlJc w:val="left"/>
    </w:lvl>
  </w:abstractNum>
  <w:num w:numId="1">
    <w:abstractNumId w:val="5"/>
  </w:num>
  <w:num w:numId="2">
    <w:abstractNumId w:val="2"/>
  </w:num>
  <w:num w:numId="3">
    <w:abstractNumId w:val="7"/>
  </w:num>
  <w:num w:numId="4">
    <w:abstractNumId w:val="1"/>
  </w:num>
  <w:num w:numId="5">
    <w:abstractNumId w:val="0"/>
  </w:num>
  <w:num w:numId="6">
    <w:abstractNumId w:val="3"/>
  </w:num>
  <w:num w:numId="7">
    <w:abstractNumId w:val="8"/>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FmNDcwYjQ4OGYyMGY5YTZhZGE3NWZkNjkwY2M0ZGMifQ=="/>
  </w:docVars>
  <w:rsids>
    <w:rsidRoot w:val="00347EA7"/>
    <w:rsid w:val="000E2CC0"/>
    <w:rsid w:val="00115E34"/>
    <w:rsid w:val="001223A0"/>
    <w:rsid w:val="0014011D"/>
    <w:rsid w:val="00157514"/>
    <w:rsid w:val="00170B66"/>
    <w:rsid w:val="0017627D"/>
    <w:rsid w:val="001B2D73"/>
    <w:rsid w:val="00336762"/>
    <w:rsid w:val="00347EA7"/>
    <w:rsid w:val="003D29F6"/>
    <w:rsid w:val="00545716"/>
    <w:rsid w:val="00554736"/>
    <w:rsid w:val="00621FE5"/>
    <w:rsid w:val="00627140"/>
    <w:rsid w:val="006A23C6"/>
    <w:rsid w:val="007020BB"/>
    <w:rsid w:val="008F6DC2"/>
    <w:rsid w:val="00933094"/>
    <w:rsid w:val="00A36D69"/>
    <w:rsid w:val="00A840A3"/>
    <w:rsid w:val="00A85546"/>
    <w:rsid w:val="00C25598"/>
    <w:rsid w:val="00C53B55"/>
    <w:rsid w:val="00C56910"/>
    <w:rsid w:val="00D11290"/>
    <w:rsid w:val="00E13496"/>
    <w:rsid w:val="00E20B98"/>
    <w:rsid w:val="00E4679F"/>
    <w:rsid w:val="00EC5192"/>
    <w:rsid w:val="00F35CD0"/>
    <w:rsid w:val="00FA6D16"/>
    <w:rsid w:val="00FC78C3"/>
    <w:rsid w:val="081D0805"/>
    <w:rsid w:val="08847D7A"/>
    <w:rsid w:val="0DDA4C85"/>
    <w:rsid w:val="0E100AAF"/>
    <w:rsid w:val="0E157D5B"/>
    <w:rsid w:val="0F050999"/>
    <w:rsid w:val="0F0D089F"/>
    <w:rsid w:val="10A93BDF"/>
    <w:rsid w:val="10D656A9"/>
    <w:rsid w:val="13F742EA"/>
    <w:rsid w:val="149206A4"/>
    <w:rsid w:val="14DA62B3"/>
    <w:rsid w:val="1568444B"/>
    <w:rsid w:val="15A84119"/>
    <w:rsid w:val="15DD7BBE"/>
    <w:rsid w:val="16727E90"/>
    <w:rsid w:val="16F65359"/>
    <w:rsid w:val="174E19C5"/>
    <w:rsid w:val="19FE08F5"/>
    <w:rsid w:val="1CB672D5"/>
    <w:rsid w:val="1DF712C0"/>
    <w:rsid w:val="1E2C7FAA"/>
    <w:rsid w:val="1E321CFA"/>
    <w:rsid w:val="1F1B13EB"/>
    <w:rsid w:val="1F3A5728"/>
    <w:rsid w:val="1FAE5789"/>
    <w:rsid w:val="1FBF7C33"/>
    <w:rsid w:val="21520F27"/>
    <w:rsid w:val="21EF3826"/>
    <w:rsid w:val="221402B8"/>
    <w:rsid w:val="23012099"/>
    <w:rsid w:val="25082450"/>
    <w:rsid w:val="26083A13"/>
    <w:rsid w:val="26FE1C88"/>
    <w:rsid w:val="273C2DB7"/>
    <w:rsid w:val="275D47C1"/>
    <w:rsid w:val="27C8493E"/>
    <w:rsid w:val="27F3AB63"/>
    <w:rsid w:val="27F84FAC"/>
    <w:rsid w:val="281B4C48"/>
    <w:rsid w:val="287302EE"/>
    <w:rsid w:val="28D754E8"/>
    <w:rsid w:val="29397224"/>
    <w:rsid w:val="29535D4A"/>
    <w:rsid w:val="2A3348CB"/>
    <w:rsid w:val="2B3C156B"/>
    <w:rsid w:val="2B767A0A"/>
    <w:rsid w:val="2BA02A39"/>
    <w:rsid w:val="2C7533C0"/>
    <w:rsid w:val="2D136C50"/>
    <w:rsid w:val="2D171A4F"/>
    <w:rsid w:val="2D2E678E"/>
    <w:rsid w:val="2DBB5846"/>
    <w:rsid w:val="2E8671B9"/>
    <w:rsid w:val="2EBF15EB"/>
    <w:rsid w:val="2F9ED62D"/>
    <w:rsid w:val="3061741B"/>
    <w:rsid w:val="31AA6D33"/>
    <w:rsid w:val="35DE09EF"/>
    <w:rsid w:val="35FE003B"/>
    <w:rsid w:val="3690487C"/>
    <w:rsid w:val="36AB18AE"/>
    <w:rsid w:val="376D8B92"/>
    <w:rsid w:val="37DF0C34"/>
    <w:rsid w:val="37EF9846"/>
    <w:rsid w:val="3A8221BC"/>
    <w:rsid w:val="3B6FCC08"/>
    <w:rsid w:val="3BFD12B9"/>
    <w:rsid w:val="3C7E61BA"/>
    <w:rsid w:val="3CD8E77E"/>
    <w:rsid w:val="3DA6350D"/>
    <w:rsid w:val="3DDB3E7B"/>
    <w:rsid w:val="3E9D9D83"/>
    <w:rsid w:val="3EF220C1"/>
    <w:rsid w:val="3EFFCBE1"/>
    <w:rsid w:val="3F5850CA"/>
    <w:rsid w:val="3F7F06C4"/>
    <w:rsid w:val="3F9B324F"/>
    <w:rsid w:val="3FB1E130"/>
    <w:rsid w:val="3FB7FD43"/>
    <w:rsid w:val="3FDC26A5"/>
    <w:rsid w:val="3FFEEB2E"/>
    <w:rsid w:val="3FFFB49F"/>
    <w:rsid w:val="3FFFFAE6"/>
    <w:rsid w:val="40DCD494"/>
    <w:rsid w:val="40F13F0B"/>
    <w:rsid w:val="424F14CB"/>
    <w:rsid w:val="42CC2365"/>
    <w:rsid w:val="43C73752"/>
    <w:rsid w:val="44246E38"/>
    <w:rsid w:val="4BDF3F6A"/>
    <w:rsid w:val="4C6F04EF"/>
    <w:rsid w:val="4E531220"/>
    <w:rsid w:val="4E7F008D"/>
    <w:rsid w:val="4F947832"/>
    <w:rsid w:val="4FDFB4C1"/>
    <w:rsid w:val="51027F3B"/>
    <w:rsid w:val="51514978"/>
    <w:rsid w:val="52F35093"/>
    <w:rsid w:val="54042480"/>
    <w:rsid w:val="55BD7873"/>
    <w:rsid w:val="574E0B52"/>
    <w:rsid w:val="577CB136"/>
    <w:rsid w:val="57CC271B"/>
    <w:rsid w:val="57DBF5EB"/>
    <w:rsid w:val="5836D790"/>
    <w:rsid w:val="58E64E62"/>
    <w:rsid w:val="59FFDAF6"/>
    <w:rsid w:val="5A6920A2"/>
    <w:rsid w:val="5AF78F16"/>
    <w:rsid w:val="5B442582"/>
    <w:rsid w:val="5BFE80BD"/>
    <w:rsid w:val="5C063C3E"/>
    <w:rsid w:val="5C4B6ACF"/>
    <w:rsid w:val="5C712830"/>
    <w:rsid w:val="5DCDC3AF"/>
    <w:rsid w:val="5DDD083E"/>
    <w:rsid w:val="5DDF8237"/>
    <w:rsid w:val="5DE56DFA"/>
    <w:rsid w:val="5DF674BC"/>
    <w:rsid w:val="5DFFBB8D"/>
    <w:rsid w:val="5EF54474"/>
    <w:rsid w:val="5F0804D8"/>
    <w:rsid w:val="5F7F5FF3"/>
    <w:rsid w:val="5F9F3CEE"/>
    <w:rsid w:val="5FB15284"/>
    <w:rsid w:val="5FDBADC8"/>
    <w:rsid w:val="5FE4C264"/>
    <w:rsid w:val="5FF3E988"/>
    <w:rsid w:val="5FF7AF3F"/>
    <w:rsid w:val="5FFBBF73"/>
    <w:rsid w:val="5FFBD5E3"/>
    <w:rsid w:val="5FFF932B"/>
    <w:rsid w:val="604638DA"/>
    <w:rsid w:val="607F3DEE"/>
    <w:rsid w:val="61CE6433"/>
    <w:rsid w:val="6202633D"/>
    <w:rsid w:val="62124E7B"/>
    <w:rsid w:val="632E7D03"/>
    <w:rsid w:val="63AE5900"/>
    <w:rsid w:val="63D85BDD"/>
    <w:rsid w:val="63F56058"/>
    <w:rsid w:val="643F91C6"/>
    <w:rsid w:val="65701D69"/>
    <w:rsid w:val="65F7A652"/>
    <w:rsid w:val="67CB0F35"/>
    <w:rsid w:val="67DB997F"/>
    <w:rsid w:val="67FD5E69"/>
    <w:rsid w:val="69EF49DD"/>
    <w:rsid w:val="6A88550F"/>
    <w:rsid w:val="6AAE65F0"/>
    <w:rsid w:val="6B1113B9"/>
    <w:rsid w:val="6B3B335A"/>
    <w:rsid w:val="6B8D7AE5"/>
    <w:rsid w:val="6BCFD5A1"/>
    <w:rsid w:val="6BFBA0F8"/>
    <w:rsid w:val="6BFD35AE"/>
    <w:rsid w:val="6EF71124"/>
    <w:rsid w:val="6F7C807F"/>
    <w:rsid w:val="6FF7FEAA"/>
    <w:rsid w:val="6FFF337F"/>
    <w:rsid w:val="72BBA839"/>
    <w:rsid w:val="72FE71FB"/>
    <w:rsid w:val="737FF75A"/>
    <w:rsid w:val="74DFF6E8"/>
    <w:rsid w:val="756B594D"/>
    <w:rsid w:val="767B1E21"/>
    <w:rsid w:val="76A58EF8"/>
    <w:rsid w:val="76AF09DF"/>
    <w:rsid w:val="76F17318"/>
    <w:rsid w:val="76F789F2"/>
    <w:rsid w:val="76FC9FA6"/>
    <w:rsid w:val="76FEBE19"/>
    <w:rsid w:val="776F3E8D"/>
    <w:rsid w:val="776FA78C"/>
    <w:rsid w:val="77BE333F"/>
    <w:rsid w:val="77F795C3"/>
    <w:rsid w:val="77F935C2"/>
    <w:rsid w:val="77FD1AC7"/>
    <w:rsid w:val="77FF37B4"/>
    <w:rsid w:val="77FF558B"/>
    <w:rsid w:val="77FF72D9"/>
    <w:rsid w:val="77FFFE43"/>
    <w:rsid w:val="79BFE212"/>
    <w:rsid w:val="79CE3B54"/>
    <w:rsid w:val="79FDCDA5"/>
    <w:rsid w:val="79FF0B24"/>
    <w:rsid w:val="79FF2E7C"/>
    <w:rsid w:val="7A7E85C0"/>
    <w:rsid w:val="7AEF82BD"/>
    <w:rsid w:val="7B7653A0"/>
    <w:rsid w:val="7B781495"/>
    <w:rsid w:val="7BFADB73"/>
    <w:rsid w:val="7CBAACF1"/>
    <w:rsid w:val="7CBF3506"/>
    <w:rsid w:val="7CFF3604"/>
    <w:rsid w:val="7D37F854"/>
    <w:rsid w:val="7D3E942A"/>
    <w:rsid w:val="7D3F061D"/>
    <w:rsid w:val="7DBF640A"/>
    <w:rsid w:val="7DBFD171"/>
    <w:rsid w:val="7DCFFED5"/>
    <w:rsid w:val="7DD75243"/>
    <w:rsid w:val="7DEDB90A"/>
    <w:rsid w:val="7DFBCB16"/>
    <w:rsid w:val="7DFE8EA7"/>
    <w:rsid w:val="7EA744E9"/>
    <w:rsid w:val="7EBF8C9E"/>
    <w:rsid w:val="7EDC3F73"/>
    <w:rsid w:val="7EDF4AA8"/>
    <w:rsid w:val="7EE685A2"/>
    <w:rsid w:val="7EEEFA56"/>
    <w:rsid w:val="7EFCC30B"/>
    <w:rsid w:val="7EFF327F"/>
    <w:rsid w:val="7F3B31D8"/>
    <w:rsid w:val="7F3D3A19"/>
    <w:rsid w:val="7F5BD847"/>
    <w:rsid w:val="7F77FFA7"/>
    <w:rsid w:val="7F7D04C2"/>
    <w:rsid w:val="7F7F9426"/>
    <w:rsid w:val="7F8FF9F5"/>
    <w:rsid w:val="7FB07823"/>
    <w:rsid w:val="7FBF1625"/>
    <w:rsid w:val="7FDEF48B"/>
    <w:rsid w:val="7FDFB43A"/>
    <w:rsid w:val="7FE90D45"/>
    <w:rsid w:val="7FEDE16F"/>
    <w:rsid w:val="7FF15A06"/>
    <w:rsid w:val="7FFB255D"/>
    <w:rsid w:val="7FFDD201"/>
    <w:rsid w:val="7FFE9CC8"/>
    <w:rsid w:val="85BD6CCB"/>
    <w:rsid w:val="8A3A5145"/>
    <w:rsid w:val="8FF7AC7E"/>
    <w:rsid w:val="8FFF55A0"/>
    <w:rsid w:val="91FBD705"/>
    <w:rsid w:val="976F04B7"/>
    <w:rsid w:val="A6F3A76C"/>
    <w:rsid w:val="A7FF8559"/>
    <w:rsid w:val="ACC55BD3"/>
    <w:rsid w:val="B13FFB1A"/>
    <w:rsid w:val="B65F6081"/>
    <w:rsid w:val="B73B932E"/>
    <w:rsid w:val="B7BB380C"/>
    <w:rsid w:val="B7F48D12"/>
    <w:rsid w:val="BAB648B2"/>
    <w:rsid w:val="BAFF02FB"/>
    <w:rsid w:val="BB62F89B"/>
    <w:rsid w:val="BBBDAF02"/>
    <w:rsid w:val="BBCDC1E5"/>
    <w:rsid w:val="BBDF7640"/>
    <w:rsid w:val="BBF646EE"/>
    <w:rsid w:val="BBFB7CC2"/>
    <w:rsid w:val="BCEBA598"/>
    <w:rsid w:val="BCFC8930"/>
    <w:rsid w:val="BD7B822E"/>
    <w:rsid w:val="BE9B4216"/>
    <w:rsid w:val="BEDECC02"/>
    <w:rsid w:val="BF7FE599"/>
    <w:rsid w:val="BFAB179A"/>
    <w:rsid w:val="BFFF1AF8"/>
    <w:rsid w:val="C3772EFC"/>
    <w:rsid w:val="C4DC1069"/>
    <w:rsid w:val="C99FD05A"/>
    <w:rsid w:val="CB5B476F"/>
    <w:rsid w:val="CBC518E2"/>
    <w:rsid w:val="CF7D81EC"/>
    <w:rsid w:val="CFF31ABA"/>
    <w:rsid w:val="D3FF3AC2"/>
    <w:rsid w:val="D5F7B0EC"/>
    <w:rsid w:val="D7F7527E"/>
    <w:rsid w:val="DAEFEAC6"/>
    <w:rsid w:val="DBBF3256"/>
    <w:rsid w:val="DBEFF3F3"/>
    <w:rsid w:val="DE2D87AD"/>
    <w:rsid w:val="DE5FC5AF"/>
    <w:rsid w:val="DE6FD9DA"/>
    <w:rsid w:val="DEA6888B"/>
    <w:rsid w:val="DEBE322F"/>
    <w:rsid w:val="DF3F0D95"/>
    <w:rsid w:val="DF576827"/>
    <w:rsid w:val="DF57D4A6"/>
    <w:rsid w:val="DFBBADAB"/>
    <w:rsid w:val="DFBF4E59"/>
    <w:rsid w:val="DFC90B1C"/>
    <w:rsid w:val="DFCF431A"/>
    <w:rsid w:val="DFDCEA71"/>
    <w:rsid w:val="DFF272CB"/>
    <w:rsid w:val="DFF91E03"/>
    <w:rsid w:val="E55DE00A"/>
    <w:rsid w:val="E7FEFA6F"/>
    <w:rsid w:val="E835A157"/>
    <w:rsid w:val="E937C5B1"/>
    <w:rsid w:val="EBEDBD3F"/>
    <w:rsid w:val="EDF7B0F6"/>
    <w:rsid w:val="EED6450E"/>
    <w:rsid w:val="EEDE8C72"/>
    <w:rsid w:val="EEFEFD0F"/>
    <w:rsid w:val="EF5FFB71"/>
    <w:rsid w:val="EFD0C40B"/>
    <w:rsid w:val="EFF6D1FB"/>
    <w:rsid w:val="F2BE4B5D"/>
    <w:rsid w:val="F37DC73B"/>
    <w:rsid w:val="F4AFF911"/>
    <w:rsid w:val="F6F1B1C4"/>
    <w:rsid w:val="F6FD637D"/>
    <w:rsid w:val="F7ADE339"/>
    <w:rsid w:val="F8759585"/>
    <w:rsid w:val="F88DB3EC"/>
    <w:rsid w:val="F97B8E51"/>
    <w:rsid w:val="F9F96125"/>
    <w:rsid w:val="FA2F4AC9"/>
    <w:rsid w:val="FAF7BB9A"/>
    <w:rsid w:val="FAFD7DB4"/>
    <w:rsid w:val="FB675552"/>
    <w:rsid w:val="FB6F4812"/>
    <w:rsid w:val="FB7CDD86"/>
    <w:rsid w:val="FBBEB2A5"/>
    <w:rsid w:val="FBC55C0A"/>
    <w:rsid w:val="FBDB02A6"/>
    <w:rsid w:val="FBF6AECC"/>
    <w:rsid w:val="FBFF8B08"/>
    <w:rsid w:val="FCDF1293"/>
    <w:rsid w:val="FCF94924"/>
    <w:rsid w:val="FCFAD4DF"/>
    <w:rsid w:val="FD3E6430"/>
    <w:rsid w:val="FD5A36A2"/>
    <w:rsid w:val="FD7F0499"/>
    <w:rsid w:val="FD9EF075"/>
    <w:rsid w:val="FDBF53A2"/>
    <w:rsid w:val="FDBFAFF4"/>
    <w:rsid w:val="FDDC30A1"/>
    <w:rsid w:val="FDEFBB44"/>
    <w:rsid w:val="FDF30369"/>
    <w:rsid w:val="FDFB0A3A"/>
    <w:rsid w:val="FE7FFE7D"/>
    <w:rsid w:val="FF759907"/>
    <w:rsid w:val="FF75BCFE"/>
    <w:rsid w:val="FF7BFF67"/>
    <w:rsid w:val="FF7C0821"/>
    <w:rsid w:val="FFBFB185"/>
    <w:rsid w:val="FFBFC279"/>
    <w:rsid w:val="FFD3AD74"/>
    <w:rsid w:val="FFD6640D"/>
    <w:rsid w:val="FFD882F2"/>
    <w:rsid w:val="FFDD1298"/>
    <w:rsid w:val="FFE78FE1"/>
    <w:rsid w:val="FFEB723B"/>
    <w:rsid w:val="FFF57983"/>
    <w:rsid w:val="FFF697C4"/>
    <w:rsid w:val="FFF956C5"/>
    <w:rsid w:val="FFFBC020"/>
    <w:rsid w:val="FFFD2991"/>
    <w:rsid w:val="FFFF3D52"/>
    <w:rsid w:val="FFFF416A"/>
    <w:rsid w:val="FFFF48D9"/>
    <w:rsid w:val="FFFF50ED"/>
    <w:rsid w:val="FFFF6F69"/>
    <w:rsid w:val="FFFFC638"/>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9"/>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3"/>
    <w:basedOn w:val="1"/>
    <w:next w:val="1"/>
    <w:unhideWhenUsed/>
    <w:qFormat/>
    <w:uiPriority w:val="9"/>
    <w:pPr>
      <w:spacing w:beforeAutospacing="1" w:afterAutospacing="1"/>
      <w:jc w:val="left"/>
      <w:outlineLvl w:val="2"/>
    </w:pPr>
    <w:rPr>
      <w:rFonts w:hint="eastAsia" w:ascii="宋体" w:hAnsi="宋体" w:eastAsia="宋体" w:cs="Times New Roman"/>
      <w:b/>
      <w:bCs/>
      <w:kern w:val="0"/>
      <w:sz w:val="27"/>
      <w:szCs w:val="27"/>
    </w:rPr>
  </w:style>
  <w:style w:type="character" w:default="1" w:styleId="15">
    <w:name w:val="Default Paragraph Font"/>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4">
    <w:name w:val="Normal Indent"/>
    <w:basedOn w:val="1"/>
    <w:autoRedefine/>
    <w:qFormat/>
    <w:uiPriority w:val="0"/>
    <w:pPr>
      <w:ind w:firstLine="420"/>
    </w:pPr>
    <w:rPr>
      <w:szCs w:val="20"/>
    </w:rPr>
  </w:style>
  <w:style w:type="paragraph" w:styleId="5">
    <w:name w:val="caption"/>
    <w:basedOn w:val="1"/>
    <w:next w:val="1"/>
    <w:autoRedefine/>
    <w:qFormat/>
    <w:uiPriority w:val="0"/>
    <w:pPr>
      <w:widowControl/>
      <w:suppressLineNumbers/>
      <w:spacing w:before="120" w:after="120"/>
      <w:jc w:val="left"/>
    </w:pPr>
    <w:rPr>
      <w:rFonts w:ascii="Liberation Serif" w:hAnsi="Liberation Serif" w:cs="Noto Sans Devanagari"/>
      <w:i/>
      <w:iCs/>
      <w:kern w:val="0"/>
      <w:sz w:val="24"/>
      <w:szCs w:val="24"/>
      <w:lang w:bidi="hi-IN"/>
    </w:rPr>
  </w:style>
  <w:style w:type="paragraph" w:styleId="6">
    <w:name w:val="Body Text"/>
    <w:basedOn w:val="1"/>
    <w:link w:val="20"/>
    <w:qFormat/>
    <w:uiPriority w:val="0"/>
    <w:pPr>
      <w:widowControl/>
      <w:spacing w:after="140" w:line="288" w:lineRule="auto"/>
      <w:jc w:val="left"/>
    </w:pPr>
    <w:rPr>
      <w:rFonts w:ascii="Liberation Serif" w:hAnsi="Liberation Serif" w:cs="Noto Sans Devanagari"/>
      <w:kern w:val="0"/>
      <w:sz w:val="22"/>
      <w:lang w:bidi="hi-IN"/>
    </w:rPr>
  </w:style>
  <w:style w:type="paragraph" w:styleId="7">
    <w:name w:val="Balloon Text"/>
    <w:basedOn w:val="1"/>
    <w:link w:val="21"/>
    <w:unhideWhenUsed/>
    <w:qFormat/>
    <w:uiPriority w:val="99"/>
    <w:pPr>
      <w:widowControl/>
      <w:jc w:val="left"/>
    </w:pPr>
    <w:rPr>
      <w:rFonts w:ascii="Liberation Serif" w:hAnsi="Liberation Serif" w:cs="Noto Sans Devanagari"/>
      <w:kern w:val="0"/>
      <w:sz w:val="18"/>
      <w:szCs w:val="18"/>
      <w:lang w:bidi="hi-IN"/>
    </w:rPr>
  </w:style>
  <w:style w:type="paragraph" w:styleId="8">
    <w:name w:val="footer"/>
    <w:basedOn w:val="1"/>
    <w:link w:val="19"/>
    <w:unhideWhenUsed/>
    <w:qFormat/>
    <w:uiPriority w:val="99"/>
    <w:pPr>
      <w:tabs>
        <w:tab w:val="center" w:pos="4153"/>
        <w:tab w:val="right" w:pos="8306"/>
      </w:tabs>
      <w:snapToGrid w:val="0"/>
      <w:jc w:val="left"/>
    </w:pPr>
    <w:rPr>
      <w:sz w:val="18"/>
      <w:szCs w:val="18"/>
    </w:rPr>
  </w:style>
  <w:style w:type="paragraph" w:styleId="9">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List"/>
    <w:basedOn w:val="6"/>
    <w:autoRedefine/>
    <w:qFormat/>
    <w:uiPriority w:val="0"/>
  </w:style>
  <w:style w:type="paragraph" w:styleId="11">
    <w:name w:val="HTML Preformatted"/>
    <w:basedOn w:val="1"/>
    <w:link w:val="31"/>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hAnsi="Courier New" w:eastAsia="黑体" w:cs="Courier New"/>
      <w:kern w:val="0"/>
      <w:sz w:val="20"/>
      <w:szCs w:val="20"/>
    </w:rPr>
  </w:style>
  <w:style w:type="paragraph" w:styleId="12">
    <w:name w:val="Normal (Web)"/>
    <w:basedOn w:val="1"/>
    <w:unhideWhenUsed/>
    <w:qFormat/>
    <w:uiPriority w:val="99"/>
    <w:pPr>
      <w:widowControl/>
      <w:spacing w:before="100" w:beforeAutospacing="1" w:after="100" w:afterAutospacing="1"/>
      <w:jc w:val="left"/>
    </w:pPr>
    <w:rPr>
      <w:rFonts w:ascii="宋体" w:hAnsi="宋体" w:eastAsia="宋体" w:cs="宋体"/>
      <w:kern w:val="0"/>
      <w:sz w:val="24"/>
      <w:szCs w:val="24"/>
      <w:lang w:bidi="hi-IN"/>
    </w:rPr>
  </w:style>
  <w:style w:type="table" w:styleId="14">
    <w:name w:val="Table Grid"/>
    <w:basedOn w:val="13"/>
    <w:autoRedefine/>
    <w:qFormat/>
    <w:uiPriority w:val="0"/>
    <w:rPr>
      <w:rFonts w:ascii="Liberation Serif" w:hAnsi="Liberation Serif" w:cs="Noto Sans Devanaga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22"/>
    <w:rPr>
      <w:b/>
      <w:bCs/>
    </w:rPr>
  </w:style>
  <w:style w:type="character" w:styleId="17">
    <w:name w:val="Hyperlink"/>
    <w:basedOn w:val="15"/>
    <w:unhideWhenUsed/>
    <w:qFormat/>
    <w:uiPriority w:val="99"/>
    <w:rPr>
      <w:color w:val="0563C1" w:themeColor="hyperlink"/>
      <w:u w:val="single"/>
      <w14:textFill>
        <w14:solidFill>
          <w14:schemeClr w14:val="hlink"/>
        </w14:solidFill>
      </w14:textFill>
    </w:rPr>
  </w:style>
  <w:style w:type="character" w:customStyle="1" w:styleId="18">
    <w:name w:val="页眉 字符"/>
    <w:basedOn w:val="15"/>
    <w:link w:val="9"/>
    <w:qFormat/>
    <w:uiPriority w:val="99"/>
    <w:rPr>
      <w:sz w:val="18"/>
      <w:szCs w:val="18"/>
    </w:rPr>
  </w:style>
  <w:style w:type="character" w:customStyle="1" w:styleId="19">
    <w:name w:val="页脚 字符"/>
    <w:basedOn w:val="15"/>
    <w:link w:val="8"/>
    <w:qFormat/>
    <w:uiPriority w:val="99"/>
    <w:rPr>
      <w:sz w:val="18"/>
      <w:szCs w:val="18"/>
    </w:rPr>
  </w:style>
  <w:style w:type="character" w:customStyle="1" w:styleId="20">
    <w:name w:val="正文文本 字符"/>
    <w:basedOn w:val="15"/>
    <w:link w:val="6"/>
    <w:qFormat/>
    <w:uiPriority w:val="0"/>
    <w:rPr>
      <w:rFonts w:ascii="Liberation Serif" w:hAnsi="Liberation Serif" w:cs="Noto Sans Devanagari"/>
      <w:kern w:val="0"/>
      <w:sz w:val="22"/>
      <w:lang w:bidi="hi-IN"/>
    </w:rPr>
  </w:style>
  <w:style w:type="character" w:customStyle="1" w:styleId="21">
    <w:name w:val="批注框文本 字符"/>
    <w:basedOn w:val="15"/>
    <w:link w:val="7"/>
    <w:qFormat/>
    <w:uiPriority w:val="99"/>
    <w:rPr>
      <w:rFonts w:ascii="Liberation Serif" w:hAnsi="Liberation Serif" w:cs="Noto Sans Devanagari"/>
      <w:kern w:val="0"/>
      <w:sz w:val="18"/>
      <w:szCs w:val="18"/>
      <w:lang w:bidi="hi-IN"/>
    </w:rPr>
  </w:style>
  <w:style w:type="character" w:customStyle="1" w:styleId="22">
    <w:name w:val="超链接1"/>
    <w:basedOn w:val="15"/>
    <w:unhideWhenUsed/>
    <w:qFormat/>
    <w:uiPriority w:val="99"/>
    <w:rPr>
      <w:color w:val="0000FF"/>
      <w:u w:val="single"/>
    </w:rPr>
  </w:style>
  <w:style w:type="paragraph" w:customStyle="1" w:styleId="23">
    <w:name w:val="Default"/>
    <w:qFormat/>
    <w:uiPriority w:val="0"/>
    <w:pPr>
      <w:widowControl w:val="0"/>
      <w:autoSpaceDE w:val="0"/>
      <w:autoSpaceDN w:val="0"/>
      <w:adjustRightInd w:val="0"/>
    </w:pPr>
    <w:rPr>
      <w:rFonts w:ascii="TCXiaoBiaoSong-B05S" w:hAnsi="Calibri" w:eastAsia="TCXiaoBiaoSong-B05S" w:cs="TCXiaoBiaoSong-B05S"/>
      <w:color w:val="000000"/>
      <w:sz w:val="24"/>
      <w:szCs w:val="24"/>
      <w:lang w:val="en-US" w:eastAsia="zh-CN" w:bidi="ar-SA"/>
    </w:rPr>
  </w:style>
  <w:style w:type="character" w:customStyle="1" w:styleId="24">
    <w:name w:val="Internet Link"/>
    <w:qFormat/>
    <w:uiPriority w:val="0"/>
    <w:rPr>
      <w:color w:val="000080"/>
      <w:u w:val="single"/>
      <w:lang w:val="zh-CN" w:eastAsia="zh-CN" w:bidi="zh-CN"/>
    </w:rPr>
  </w:style>
  <w:style w:type="paragraph" w:customStyle="1" w:styleId="25">
    <w:name w:val="Heading"/>
    <w:basedOn w:val="1"/>
    <w:next w:val="6"/>
    <w:qFormat/>
    <w:uiPriority w:val="0"/>
    <w:pPr>
      <w:keepNext/>
      <w:widowControl/>
      <w:spacing w:before="240" w:after="120"/>
      <w:jc w:val="left"/>
    </w:pPr>
    <w:rPr>
      <w:rFonts w:ascii="Liberation Sans" w:hAnsi="Liberation Sans" w:eastAsia="Noto Sans CJK JP Regular" w:cs="Noto Sans Devanagari"/>
      <w:kern w:val="0"/>
      <w:sz w:val="28"/>
      <w:szCs w:val="28"/>
      <w:lang w:bidi="hi-IN"/>
    </w:rPr>
  </w:style>
  <w:style w:type="paragraph" w:customStyle="1" w:styleId="26">
    <w:name w:val="Index"/>
    <w:basedOn w:val="1"/>
    <w:qFormat/>
    <w:uiPriority w:val="0"/>
    <w:pPr>
      <w:widowControl/>
      <w:suppressLineNumbers/>
      <w:jc w:val="left"/>
    </w:pPr>
    <w:rPr>
      <w:rFonts w:ascii="Liberation Serif" w:hAnsi="Liberation Serif" w:cs="Noto Sans Devanagari"/>
      <w:kern w:val="0"/>
      <w:sz w:val="22"/>
      <w:lang w:bidi="hi-IN"/>
    </w:rPr>
  </w:style>
  <w:style w:type="paragraph" w:customStyle="1" w:styleId="27">
    <w:name w:val="列出段落1"/>
    <w:basedOn w:val="1"/>
    <w:qFormat/>
    <w:uiPriority w:val="34"/>
    <w:pPr>
      <w:ind w:firstLine="420" w:firstLineChars="200"/>
    </w:pPr>
    <w:rPr>
      <w:rFonts w:ascii="Calibri" w:hAnsi="Calibri" w:eastAsia="宋体" w:cs="Times New Roman"/>
    </w:rPr>
  </w:style>
  <w:style w:type="paragraph" w:customStyle="1" w:styleId="28">
    <w:name w:val="修订1"/>
    <w:hidden/>
    <w:semiHidden/>
    <w:qFormat/>
    <w:uiPriority w:val="99"/>
    <w:rPr>
      <w:rFonts w:ascii="Liberation Serif" w:hAnsi="Liberation Serif" w:cs="Mangal" w:eastAsiaTheme="minorEastAsia"/>
      <w:sz w:val="22"/>
      <w:lang w:val="en-US" w:eastAsia="zh-CN" w:bidi="hi-IN"/>
    </w:rPr>
  </w:style>
  <w:style w:type="paragraph" w:customStyle="1" w:styleId="29">
    <w:name w:val="列表段落1"/>
    <w:basedOn w:val="1"/>
    <w:qFormat/>
    <w:uiPriority w:val="34"/>
    <w:pPr>
      <w:ind w:firstLine="420" w:firstLineChars="200"/>
    </w:pPr>
    <w:rPr>
      <w:rFonts w:ascii="Calibri" w:hAnsi="Calibri" w:eastAsia="宋体" w:cs="Times New Roman"/>
    </w:rPr>
  </w:style>
  <w:style w:type="paragraph" w:customStyle="1" w:styleId="30">
    <w:name w:val="注释级别 21"/>
    <w:qFormat/>
    <w:uiPriority w:val="1"/>
    <w:pPr>
      <w:widowControl w:val="0"/>
      <w:jc w:val="both"/>
    </w:pPr>
    <w:rPr>
      <w:rFonts w:ascii="Calibri" w:hAnsi="Calibri" w:eastAsia="宋体" w:cs="Times New Roman"/>
      <w:kern w:val="2"/>
      <w:sz w:val="21"/>
      <w:szCs w:val="22"/>
      <w:lang w:val="en-US" w:eastAsia="zh-CN" w:bidi="ar-SA"/>
    </w:rPr>
  </w:style>
  <w:style w:type="character" w:customStyle="1" w:styleId="31">
    <w:name w:val="HTML 预设格式 字符"/>
    <w:basedOn w:val="15"/>
    <w:link w:val="11"/>
    <w:qFormat/>
    <w:uiPriority w:val="0"/>
    <w:rPr>
      <w:rFonts w:ascii="黑体" w:hAnsi="Courier New" w:eastAsia="黑体" w:cs="Courier New"/>
    </w:rPr>
  </w:style>
  <w:style w:type="paragraph" w:styleId="32">
    <w:name w:val="List Paragraph"/>
    <w:basedOn w:val="1"/>
    <w:unhideWhenUsed/>
    <w:qFormat/>
    <w:uiPriority w:val="99"/>
    <w:pPr>
      <w:ind w:firstLine="420" w:firstLineChars="200"/>
    </w:pPr>
  </w:style>
  <w:style w:type="character" w:customStyle="1" w:styleId="33">
    <w:name w:val="Unresolved Mention"/>
    <w:basedOn w:val="1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6</Pages>
  <Words>3718</Words>
  <Characters>3829</Characters>
  <Lines>638</Lines>
  <Paragraphs>633</Paragraphs>
  <TotalTime>23</TotalTime>
  <ScaleCrop>false</ScaleCrop>
  <LinksUpToDate>false</LinksUpToDate>
  <CharactersWithSpaces>3992</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2012-01-29T02:00:00Z</dcterms:created>
  <dc:creator>微软用户</dc:creator>
  <cp:lastModifiedBy>Eric。</cp:lastModifiedBy>
  <cp:lastPrinted>2022-11-22T13:18:00Z</cp:lastPrinted>
  <dcterms:modified xsi:type="dcterms:W3CDTF">2026-10-07T18:41:05Z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1F1B04C4E42D40FCBF269BE0738AC16C_13</vt:lpwstr>
  </property>
  <property fmtid="{D5CDD505-2E9C-101B-9397-08002B2CF9AE}" pid="4" name="KSOTemplateDocerSaveRecord">
    <vt:lpwstr>eyJoZGlkIjoiNDYwYWM5N2I0ZjI1NmZjYWJmMjFlNzMyNTczOWYxOTAiLCJ1c2VySWQiOiIxMzc0NDI0MjIxMjIifQ==</vt:lpwstr>
  </property>
</Properties>
</file>