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114CD">
      <w:pPr>
        <w:widowControl/>
        <w:spacing w:line="354" w:lineRule="exact"/>
        <w:ind w:left="5620"/>
        <w:jc w:val="left"/>
        <w:rPr>
          <w:rFonts w:ascii="仿宋_GB2312" w:hAnsi="Calibri" w:eastAsia="仿宋_GB2312" w:cs="仿宋_GB2312"/>
          <w:kern w:val="0"/>
          <w:sz w:val="32"/>
          <w:szCs w:val="32"/>
        </w:rPr>
      </w:pPr>
    </w:p>
    <w:p w14:paraId="289C87B3">
      <w:pPr>
        <w:jc w:val="center"/>
        <w:rPr>
          <w:rFonts w:hint="eastAsia" w:ascii="方正小标宋简体" w:hAnsi="方正小标宋简体" w:eastAsia="方正小标宋简体" w:cs="方正小标宋简体"/>
          <w:sz w:val="44"/>
          <w:szCs w:val="44"/>
        </w:rPr>
      </w:pPr>
    </w:p>
    <w:p w14:paraId="14D194D4">
      <w:pPr>
        <w:jc w:val="center"/>
        <w:rPr>
          <w:rFonts w:hint="eastAsia" w:ascii="方正小标宋简体" w:hAnsi="方正小标宋简体" w:eastAsia="方正小标宋简体" w:cs="方正小标宋简体"/>
          <w:sz w:val="44"/>
          <w:szCs w:val="44"/>
        </w:rPr>
      </w:pPr>
      <w:r>
        <w:rPr>
          <w:rFonts w:ascii="华文小楷简行" w:hAnsi="华文小楷简行" w:eastAsia="华文小楷简行"/>
          <w:b w:val="0"/>
          <w:sz w:val="44"/>
        </w:rPr>
        <w:t>东莞市青少年科技创新大赛</w:t>
      </w:r>
    </w:p>
    <w:p w14:paraId="74F3A265">
      <w:pPr>
        <w:jc w:val="center"/>
        <w:rPr>
          <w:rFonts w:hint="eastAsia" w:ascii="仿宋" w:hAnsi="仿宋" w:eastAsia="仿宋" w:cs="仿宋"/>
          <w:sz w:val="32"/>
          <w:szCs w:val="32"/>
        </w:rPr>
      </w:pPr>
      <w:r>
        <w:rPr>
          <w:rFonts w:ascii="华文小楷简行" w:hAnsi="华文小楷简行" w:eastAsia="华文小楷简行"/>
          <w:b w:val="0"/>
          <w:sz w:val="44"/>
        </w:rPr>
        <w:t xml:space="preserve">项目查新报告 </w:t>
      </w:r>
    </w:p>
    <w:p w14:paraId="2CD75469">
      <w:pPr>
        <w:keepNext w:val="0"/>
        <w:keepLines w:val="0"/>
        <w:widowControl/>
        <w:suppressLineNumbers w:val="0"/>
        <w:ind w:left="420" w:leftChars="0" w:firstLine="420" w:firstLineChars="0"/>
        <w:jc w:val="left"/>
        <w:rPr>
          <w:rFonts w:hint="eastAsia" w:ascii="仿宋" w:hAnsi="仿宋" w:eastAsia="仿宋" w:cs="仿宋"/>
          <w:sz w:val="32"/>
          <w:szCs w:val="32"/>
        </w:rPr>
      </w:pPr>
      <w:r>
        <w:rPr>
          <w:rFonts w:ascii="黑体" w:hAnsi="黑体" w:eastAsia="黑体"/>
          <w:b w:val="0"/>
          <w:sz w:val="32"/>
        </w:rPr>
        <w:t>项目名称：</w:t>
      </w:r>
      <w:r>
        <w:rPr>
          <w:rFonts w:ascii="黑体" w:hAnsi="黑体" w:eastAsia="黑体"/>
          <w:b w:val="0"/>
          <w:sz w:val="32"/>
        </w:rPr>
        <w:t>小鳌带路——基于K230视觉终端的粤地非遗书院AI导览装置</w:t>
      </w:r>
    </w:p>
    <w:p w14:paraId="4C677533">
      <w:pPr>
        <w:ind w:left="420" w:firstLine="420"/>
        <w:rPr>
          <w:rFonts w:hint="eastAsia" w:ascii="仿宋" w:hAnsi="仿宋" w:eastAsia="仿宋" w:cs="仿宋"/>
          <w:sz w:val="32"/>
          <w:szCs w:val="32"/>
        </w:rPr>
      </w:pPr>
    </w:p>
    <w:p w14:paraId="5EF6CC69">
      <w:pPr>
        <w:ind w:left="420" w:firstLine="420"/>
        <w:rPr>
          <w:rFonts w:hint="eastAsia" w:ascii="仿宋" w:hAnsi="仿宋" w:eastAsia="仿宋" w:cs="仿宋"/>
          <w:sz w:val="32"/>
          <w:szCs w:val="32"/>
        </w:rPr>
      </w:pPr>
      <w:r>
        <w:rPr>
          <w:rFonts w:ascii="黑体" w:hAnsi="黑体" w:eastAsia="黑体"/>
          <w:b w:val="0"/>
          <w:sz w:val="32"/>
        </w:rPr>
        <w:t xml:space="preserve">查新完成日期：2026年10月22日　</w:t>
      </w:r>
    </w:p>
    <w:p w14:paraId="323947FD">
      <w:pPr>
        <w:ind w:left="420" w:firstLine="420"/>
        <w:rPr>
          <w:rFonts w:hint="eastAsia" w:ascii="仿宋" w:hAnsi="仿宋" w:eastAsia="仿宋" w:cs="仿宋"/>
          <w:sz w:val="32"/>
          <w:szCs w:val="32"/>
        </w:rPr>
      </w:pPr>
    </w:p>
    <w:p w14:paraId="079D5505">
      <w:pPr>
        <w:rPr>
          <w:rFonts w:hint="eastAsia" w:ascii="黑体" w:hAnsi="黑体" w:eastAsia="黑体" w:cs="黑体"/>
          <w:sz w:val="32"/>
        </w:rPr>
      </w:pPr>
    </w:p>
    <w:p w14:paraId="2377F448">
      <w:pPr>
        <w:rPr>
          <w:rFonts w:hint="eastAsia" w:ascii="黑体" w:hAnsi="黑体" w:eastAsia="黑体" w:cs="黑体"/>
          <w:sz w:val="32"/>
        </w:rPr>
      </w:pPr>
    </w:p>
    <w:p w14:paraId="4FCD1808">
      <w:pPr>
        <w:rPr>
          <w:rFonts w:hint="eastAsia" w:ascii="黑体" w:hAnsi="黑体" w:eastAsia="黑体" w:cs="黑体"/>
          <w:sz w:val="32"/>
        </w:rPr>
      </w:pPr>
    </w:p>
    <w:p w14:paraId="03A6175F">
      <w:pPr>
        <w:rPr>
          <w:rFonts w:hint="eastAsia" w:ascii="黑体" w:hAnsi="黑体" w:eastAsia="黑体" w:cs="黑体"/>
          <w:sz w:val="32"/>
        </w:rPr>
      </w:pPr>
    </w:p>
    <w:p w14:paraId="3DB60A59">
      <w:pPr>
        <w:rPr>
          <w:rFonts w:hint="eastAsia" w:ascii="黑体" w:hAnsi="黑体" w:eastAsia="黑体" w:cs="黑体"/>
          <w:sz w:val="32"/>
        </w:rPr>
      </w:pPr>
    </w:p>
    <w:p w14:paraId="4461526B">
      <w:pPr>
        <w:rPr>
          <w:rFonts w:hint="eastAsia" w:ascii="黑体" w:hAnsi="黑体" w:eastAsia="黑体" w:cs="黑体"/>
          <w:sz w:val="32"/>
        </w:rPr>
      </w:pPr>
    </w:p>
    <w:p w14:paraId="4BB7A06B">
      <w:pPr>
        <w:rPr>
          <w:rFonts w:hint="eastAsia" w:ascii="黑体" w:hAnsi="黑体" w:eastAsia="黑体" w:cs="黑体"/>
          <w:sz w:val="32"/>
        </w:rPr>
      </w:pPr>
    </w:p>
    <w:p w14:paraId="05D9B58E">
      <w:pPr>
        <w:rPr>
          <w:rFonts w:hint="eastAsia" w:ascii="黑体" w:hAnsi="黑体" w:eastAsia="黑体" w:cs="黑体"/>
          <w:sz w:val="32"/>
        </w:rPr>
      </w:pPr>
    </w:p>
    <w:p w14:paraId="06474E8D">
      <w:pPr>
        <w:rPr>
          <w:rFonts w:hint="eastAsia" w:ascii="黑体" w:hAnsi="黑体" w:eastAsia="黑体" w:cs="黑体"/>
          <w:sz w:val="32"/>
        </w:rPr>
      </w:pPr>
    </w:p>
    <w:p w14:paraId="4A3267AC">
      <w:pPr>
        <w:rPr>
          <w:rFonts w:hint="eastAsia" w:ascii="黑体" w:hAnsi="黑体" w:eastAsia="黑体" w:cs="黑体"/>
          <w:sz w:val="32"/>
        </w:rPr>
      </w:pPr>
    </w:p>
    <w:p w14:paraId="4C6324D7">
      <w:pPr>
        <w:rPr>
          <w:rFonts w:hint="eastAsia" w:ascii="黑体" w:hAnsi="黑体" w:eastAsia="黑体" w:cs="黑体"/>
          <w:sz w:val="32"/>
        </w:rPr>
      </w:pPr>
    </w:p>
    <w:p w14:paraId="0EDA554A">
      <w:pPr>
        <w:rPr>
          <w:rFonts w:hint="eastAsia" w:ascii="黑体" w:hAnsi="黑体" w:eastAsia="黑体" w:cs="黑体"/>
          <w:sz w:val="32"/>
          <w:lang w:val="en-US" w:eastAsia="zh-CN"/>
        </w:rPr>
      </w:pPr>
    </w:p>
    <w:p w14:paraId="03110EAB">
      <w:pPr>
        <w:jc w:val="center"/>
        <w:rPr>
          <w:rFonts w:hint="eastAsia" w:ascii="黑体" w:hAnsi="宋体" w:eastAsia="黑体"/>
          <w:sz w:val="30"/>
        </w:rPr>
      </w:pPr>
      <w:r>
        <w:rPr>
          <w:rFonts w:ascii="黑体" w:hAnsi="黑体" w:eastAsia="黑体"/>
          <w:b w:val="0"/>
          <w:sz w:val="32"/>
        </w:rPr>
        <w:t>东莞市青少年科技创新大赛组织委员会</w:t>
      </w:r>
    </w:p>
    <w:p w14:paraId="37AF49C4">
      <w:pPr>
        <w:spacing w:line="360" w:lineRule="exact"/>
        <w:jc w:val="center"/>
        <w:rPr>
          <w:rFonts w:hint="eastAsia" w:ascii="黑体" w:hAnsi="宋体" w:eastAsia="黑体"/>
          <w:sz w:val="30"/>
        </w:rPr>
      </w:pPr>
    </w:p>
    <w:p w14:paraId="1AF20F93">
      <w:pPr>
        <w:spacing w:line="360" w:lineRule="exact"/>
        <w:jc w:val="center"/>
        <w:rPr>
          <w:rFonts w:hint="eastAsia" w:ascii="黑体" w:hAnsi="宋体" w:eastAsia="黑体"/>
          <w:sz w:val="30"/>
        </w:rPr>
      </w:pPr>
      <w:r>
        <w:rPr>
          <w:rFonts w:hint="eastAsia" w:ascii="黑体" w:hAnsi="宋体" w:eastAsia="黑体"/>
          <w:sz w:val="30"/>
        </w:rPr>
        <w:t>填写说明</w:t>
      </w:r>
    </w:p>
    <w:p w14:paraId="04C8D3EA">
      <w:pPr>
        <w:spacing w:before="60" w:line="360" w:lineRule="exact"/>
        <w:ind w:firstLine="425"/>
        <w:rPr>
          <w:b/>
          <w:bCs/>
        </w:rPr>
      </w:pPr>
      <w:r>
        <w:rPr>
          <w:rFonts w:hint="eastAsia"/>
          <w:b/>
          <w:bCs/>
        </w:rPr>
        <w:t>一、查新报告</w:t>
      </w:r>
    </w:p>
    <w:p w14:paraId="3C0F6E99">
      <w:pPr>
        <w:spacing w:before="60" w:line="360" w:lineRule="exact"/>
        <w:ind w:firstLine="425"/>
      </w:pPr>
      <w:r>
        <w:rPr>
          <w:rFonts w:hint="eastAsia"/>
        </w:rPr>
        <w:t>　　查新报告是查新者用书面形式就查新情况及其结论所做的正式陈述。</w:t>
      </w:r>
    </w:p>
    <w:p w14:paraId="149A08A8">
      <w:pPr>
        <w:spacing w:before="60" w:line="360" w:lineRule="exact"/>
        <w:ind w:firstLine="425"/>
        <w:rPr>
          <w:b/>
          <w:bCs/>
        </w:rPr>
      </w:pPr>
      <w:r>
        <w:rPr>
          <w:rFonts w:hint="eastAsia"/>
          <w:b/>
          <w:bCs/>
        </w:rPr>
        <w:t>二、查新报告格式说明</w:t>
      </w:r>
    </w:p>
    <w:p w14:paraId="6C51C44B">
      <w:pPr>
        <w:spacing w:line="360" w:lineRule="exact"/>
        <w:ind w:firstLine="425"/>
      </w:pPr>
      <w:r>
        <w:rPr>
          <w:rFonts w:hint="eastAsia"/>
        </w:rPr>
        <w:t>本报告采用A4纸，每栏的大小，可随内容调整。</w:t>
      </w:r>
    </w:p>
    <w:p w14:paraId="2D17A05A">
      <w:pPr>
        <w:spacing w:before="60" w:line="360" w:lineRule="exact"/>
        <w:ind w:firstLine="425"/>
        <w:rPr>
          <w:b/>
          <w:bCs/>
        </w:rPr>
      </w:pPr>
      <w:r>
        <w:rPr>
          <w:rFonts w:hint="eastAsia"/>
          <w:b/>
          <w:bCs/>
        </w:rPr>
        <w:t>三、报告内容应当打印；签字使用钢笔或者中性笔。</w:t>
      </w:r>
    </w:p>
    <w:p w14:paraId="5ED9AA22">
      <w:pPr>
        <w:spacing w:before="60" w:line="360" w:lineRule="exact"/>
        <w:ind w:firstLine="425"/>
        <w:rPr>
          <w:b/>
          <w:bCs/>
        </w:rPr>
      </w:pPr>
      <w:r>
        <w:rPr>
          <w:rFonts w:hint="eastAsia"/>
          <w:b/>
          <w:bCs/>
        </w:rPr>
        <w:t>四、查新点与查新要求</w:t>
      </w:r>
    </w:p>
    <w:p w14:paraId="7A0C54F5">
      <w:pPr>
        <w:spacing w:before="60" w:line="360" w:lineRule="exact"/>
        <w:ind w:firstLine="582" w:firstLineChars="277"/>
      </w:pPr>
      <w:r>
        <w:rPr>
          <w:rFonts w:hint="eastAsia"/>
          <w:b/>
          <w:bCs/>
        </w:rPr>
        <w:t>查新点：</w:t>
      </w:r>
      <w:r>
        <w:rPr>
          <w:rFonts w:hint="eastAsia"/>
        </w:rPr>
        <w:t>是指需要查证的内容要点。</w:t>
      </w:r>
    </w:p>
    <w:p w14:paraId="75B4EE99">
      <w:pPr>
        <w:spacing w:before="60" w:line="360" w:lineRule="exact"/>
        <w:ind w:firstLine="582" w:firstLineChars="277"/>
      </w:pPr>
      <w:r>
        <w:rPr>
          <w:rFonts w:hint="eastAsia"/>
          <w:b/>
          <w:bCs/>
        </w:rPr>
        <w:t>查新要求：</w:t>
      </w:r>
      <w:r>
        <w:rPr>
          <w:rFonts w:hint="eastAsia"/>
        </w:rPr>
        <w:t>（1）通过查新，证明在所查范围内有无相同或类似研究；（2）对查新项目分别或综合进行对比分析；（3）对查新项目的新颖性做出判断。</w:t>
      </w:r>
    </w:p>
    <w:p w14:paraId="38CF53BB">
      <w:pPr>
        <w:spacing w:before="60" w:line="360" w:lineRule="exact"/>
        <w:ind w:firstLine="425"/>
        <w:rPr>
          <w:b/>
          <w:bCs/>
        </w:rPr>
      </w:pPr>
      <w:r>
        <w:rPr>
          <w:rFonts w:hint="eastAsia"/>
          <w:b/>
          <w:bCs/>
        </w:rPr>
        <w:t>五、文献检索范围及检索策略</w:t>
      </w:r>
    </w:p>
    <w:p w14:paraId="476CB149">
      <w:pPr>
        <w:pStyle w:val="4"/>
        <w:spacing w:line="360" w:lineRule="exact"/>
        <w:ind w:firstLine="425"/>
      </w:pPr>
      <w:r>
        <w:rPr>
          <w:rFonts w:hint="eastAsia"/>
        </w:rPr>
        <w:t>应当列出对查新项目进行分析后所确定的手工检索的工具书、年限、主题词、分类号和计算机检索系统、数据库、文档、年限、检索词等。</w:t>
      </w:r>
    </w:p>
    <w:p w14:paraId="70AD0E72">
      <w:pPr>
        <w:spacing w:before="60" w:line="360" w:lineRule="exact"/>
        <w:ind w:firstLine="425"/>
        <w:rPr>
          <w:b/>
          <w:bCs/>
          <w:szCs w:val="20"/>
        </w:rPr>
      </w:pPr>
      <w:r>
        <w:rPr>
          <w:rFonts w:hint="eastAsia"/>
          <w:b/>
          <w:bCs/>
          <w:szCs w:val="20"/>
        </w:rPr>
        <w:t>六、检索结果</w:t>
      </w:r>
    </w:p>
    <w:p w14:paraId="30045463">
      <w:pPr>
        <w:pStyle w:val="4"/>
        <w:spacing w:line="360" w:lineRule="exact"/>
        <w:ind w:firstLine="425"/>
      </w:pPr>
      <w:r>
        <w:rPr>
          <w:rFonts w:hint="eastAsia"/>
        </w:rPr>
        <w:t>检索结果应当反映出通过对所检数据库和工</w:t>
      </w:r>
      <w:r>
        <w:rPr>
          <w:rFonts w:hint="eastAsia"/>
          <w:color w:val="000000"/>
        </w:rPr>
        <w:t>具书命中的相</w:t>
      </w:r>
      <w:r>
        <w:rPr>
          <w:rFonts w:hint="eastAsia"/>
        </w:rPr>
        <w:t>关文献情况及对相关文献的主要论点进行对比分析的客观情况。</w:t>
      </w:r>
    </w:p>
    <w:p w14:paraId="77DE969A">
      <w:pPr>
        <w:pStyle w:val="4"/>
        <w:spacing w:line="360" w:lineRule="exact"/>
        <w:ind w:firstLine="425"/>
        <w:rPr>
          <w:rFonts w:eastAsia="仿宋_GB2312"/>
          <w:b/>
          <w:bCs/>
        </w:rPr>
      </w:pPr>
      <w:r>
        <w:rPr>
          <w:rFonts w:hint="eastAsia"/>
        </w:rPr>
        <w:t>　　</w:t>
      </w:r>
      <w:r>
        <w:rPr>
          <w:rFonts w:hint="eastAsia" w:eastAsia="仿宋_GB2312"/>
          <w:b/>
          <w:bCs/>
        </w:rPr>
        <w:t>检索结果应当包括下列内容：</w:t>
      </w:r>
    </w:p>
    <w:p w14:paraId="21D74175">
      <w:pPr>
        <w:pStyle w:val="4"/>
        <w:spacing w:line="360" w:lineRule="exact"/>
        <w:ind w:firstLine="425"/>
      </w:pPr>
      <w:r>
        <w:rPr>
          <w:rFonts w:hint="eastAsia"/>
        </w:rPr>
        <w:t>　　①对所检数据库和工具书命中的相关文献情况进行简单描述；</w:t>
      </w:r>
    </w:p>
    <w:p w14:paraId="39308F72">
      <w:pPr>
        <w:pStyle w:val="4"/>
        <w:spacing w:line="360" w:lineRule="exact"/>
        <w:ind w:firstLine="425"/>
      </w:pPr>
      <w:r>
        <w:rPr>
          <w:rFonts w:hint="eastAsia"/>
        </w:rPr>
        <w:t>　　②依据检出文献的相关程度</w:t>
      </w:r>
    </w:p>
    <w:p w14:paraId="1C878A96">
      <w:pPr>
        <w:pStyle w:val="4"/>
        <w:spacing w:line="360" w:lineRule="exact"/>
        <w:ind w:firstLine="425"/>
      </w:pPr>
      <w:r>
        <w:rPr>
          <w:rFonts w:hint="eastAsia"/>
        </w:rPr>
        <w:t>　　③对所列主要相关文献进行简要描述（一般可用原文中的摘要或者利用原文中的摘要进行抽提），对于密切相关文献，可节录部分原文并提供原文的复印件作为附录</w:t>
      </w:r>
    </w:p>
    <w:p w14:paraId="75CC4C52">
      <w:pPr>
        <w:spacing w:before="60" w:line="360" w:lineRule="exact"/>
        <w:ind w:firstLine="425"/>
        <w:rPr>
          <w:b/>
          <w:bCs/>
        </w:rPr>
      </w:pPr>
      <w:r>
        <w:rPr>
          <w:rFonts w:hint="eastAsia"/>
          <w:b/>
          <w:bCs/>
        </w:rPr>
        <w:t>七、查新结论</w:t>
      </w:r>
    </w:p>
    <w:p w14:paraId="469E9B11">
      <w:pPr>
        <w:pStyle w:val="4"/>
        <w:spacing w:line="360" w:lineRule="exact"/>
        <w:ind w:firstLine="425"/>
      </w:pPr>
      <w:r>
        <w:rPr>
          <w:rFonts w:hint="eastAsia"/>
        </w:rPr>
        <w:t>查新结论应当客观、公正、准确、清晰地反映查新项目的真实情况，不得误导。查新结论应当包括下列内容：</w:t>
      </w:r>
    </w:p>
    <w:p w14:paraId="306D8172">
      <w:pPr>
        <w:pStyle w:val="4"/>
        <w:spacing w:line="360" w:lineRule="exact"/>
        <w:ind w:firstLine="425"/>
      </w:pPr>
      <w:r>
        <w:rPr>
          <w:rFonts w:hint="eastAsia"/>
        </w:rPr>
        <w:t>　　①相关文献检出情况；</w:t>
      </w:r>
    </w:p>
    <w:p w14:paraId="53874F97">
      <w:pPr>
        <w:pStyle w:val="4"/>
        <w:spacing w:line="360" w:lineRule="exact"/>
        <w:ind w:firstLine="425"/>
      </w:pPr>
      <w:r>
        <w:rPr>
          <w:rFonts w:hint="eastAsia"/>
        </w:rPr>
        <w:t>　　②检索结果与查新项目的要点的比较分析；</w:t>
      </w:r>
    </w:p>
    <w:p w14:paraId="68867064">
      <w:pPr>
        <w:pStyle w:val="4"/>
        <w:spacing w:line="360" w:lineRule="exact"/>
        <w:ind w:firstLine="425"/>
      </w:pPr>
      <w:r>
        <w:rPr>
          <w:rFonts w:hint="eastAsia"/>
        </w:rPr>
        <w:t>　　③对查新项目新颖性的判断结论。</w:t>
      </w:r>
    </w:p>
    <w:p w14:paraId="3A5BFAA1">
      <w:pPr>
        <w:pStyle w:val="4"/>
        <w:spacing w:line="360" w:lineRule="exact"/>
        <w:ind w:firstLine="425"/>
        <w:rPr>
          <w:b/>
          <w:bCs/>
        </w:rPr>
      </w:pPr>
      <w:r>
        <w:rPr>
          <w:rFonts w:hint="eastAsia"/>
          <w:b/>
          <w:bCs/>
        </w:rPr>
        <w:t>八、申报者本人、所在学校的查新声明</w:t>
      </w:r>
    </w:p>
    <w:p w14:paraId="216FE671">
      <w:pPr>
        <w:pStyle w:val="4"/>
        <w:spacing w:line="360" w:lineRule="exact"/>
        <w:ind w:firstLine="425"/>
      </w:pPr>
      <w:r>
        <w:rPr>
          <w:rFonts w:hint="eastAsia"/>
        </w:rPr>
        <w:t>　　查新报告应当包括经申报者本人、所在学校的查新声明。声明的内容可以参考下面的内容进行撰写。</w:t>
      </w:r>
    </w:p>
    <w:p w14:paraId="035DF755">
      <w:pPr>
        <w:pStyle w:val="4"/>
        <w:spacing w:line="360" w:lineRule="exact"/>
        <w:ind w:firstLine="425"/>
      </w:pPr>
      <w:r>
        <w:rPr>
          <w:rFonts w:hint="eastAsia"/>
        </w:rPr>
        <w:t>　　（１）报告中陈述的事实是真实和准确的。</w:t>
      </w:r>
    </w:p>
    <w:p w14:paraId="709F3E1F">
      <w:pPr>
        <w:pStyle w:val="4"/>
        <w:spacing w:line="360" w:lineRule="exact"/>
        <w:ind w:firstLine="425"/>
      </w:pPr>
      <w:r>
        <w:rPr>
          <w:rFonts w:hint="eastAsia"/>
        </w:rPr>
        <w:t>　　（２）我们按照项目查新规范进行查新、文献分析和审核，并做出上述查新结论。</w:t>
      </w:r>
    </w:p>
    <w:p w14:paraId="370A84F2">
      <w:pPr>
        <w:pStyle w:val="4"/>
        <w:spacing w:line="360" w:lineRule="exact"/>
        <w:ind w:firstLine="425"/>
        <w:rPr>
          <w:b/>
          <w:bCs/>
        </w:rPr>
      </w:pPr>
      <w:r>
        <w:rPr>
          <w:rFonts w:hint="eastAsia"/>
          <w:b/>
          <w:bCs/>
        </w:rPr>
        <w:t>九、附件</w:t>
      </w:r>
    </w:p>
    <w:p w14:paraId="7F975AD3">
      <w:pPr>
        <w:pStyle w:val="4"/>
        <w:spacing w:line="360" w:lineRule="exact"/>
      </w:pPr>
      <w:r>
        <w:rPr>
          <w:rFonts w:hint="eastAsia"/>
        </w:rPr>
        <w:t>附件主要包括密切相关文献的题目、出处以及原文复制件；一般相关文献的题目、出处以及文摘。</w:t>
      </w:r>
    </w:p>
    <w:p w14:paraId="1902C621">
      <w:pPr>
        <w:pStyle w:val="11"/>
        <w:spacing w:line="360" w:lineRule="auto"/>
      </w:pPr>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6944"/>
      </w:tblGrid>
      <w:tr w14:paraId="59D541C9">
        <w:trPr>
          <w:cantSplit/>
          <w:trHeight w:val="455" w:hRule="atLeast"/>
        </w:trPr>
        <w:tc>
          <w:tcPr>
            <w:tcW w:w="1578" w:type="dxa"/>
            <w:vAlign w:val="center"/>
          </w:tcPr>
          <w:p w14:paraId="4AA3CC8F">
            <w:pPr>
              <w:pStyle w:val="11"/>
              <w:spacing w:line="360" w:lineRule="auto"/>
              <w:jc w:val="center"/>
              <w:rPr>
                <w:b/>
                <w:bCs/>
                <w:sz w:val="21"/>
              </w:rPr>
            </w:pPr>
            <w:r>
              <w:rPr>
                <w:rFonts w:hint="eastAsia"/>
                <w:b/>
                <w:bCs/>
                <w:sz w:val="21"/>
              </w:rPr>
              <w:t>查新项目名称</w:t>
            </w:r>
          </w:p>
        </w:tc>
        <w:tc>
          <w:tcPr>
            <w:tcW w:w="6944" w:type="dxa"/>
          </w:tcPr>
          <w:p>
            <w:pPr>
              <w:jc w:val="left"/>
            </w:pPr>
            <w:r/>
            <w:r>
              <w:rPr>
                <w:rFonts w:ascii="仿宋_GB2312" w:hAnsi="仿宋_GB2312" w:eastAsia="仿宋_GB2312"/>
                <w:b w:val="0"/>
                <w:sz w:val="22"/>
              </w:rPr>
              <w:t>小鳌带路——基于K230视觉终端的粤地非遗书院AI导览装置</w:t>
            </w:r>
          </w:p>
        </w:tc>
      </w:tr>
      <w:tr w14:paraId="7C8D0491">
        <w:tc>
          <w:tcPr>
            <w:tcW w:w="8522" w:type="dxa"/>
            <w:gridSpan w:val="2"/>
          </w:tcPr>
          <w:p>
            <w:r/>
            <w:r>
              <w:rPr>
                <w:rFonts w:ascii="黑体" w:hAnsi="黑体" w:eastAsia="黑体"/>
                <w:b/>
                <w:sz w:val="21"/>
              </w:rPr>
              <w:t>一．查新目的</w:t>
            </w:r>
          </w:p>
          <w:p>
            <w:r>
              <w:rPr>
                <w:rFonts w:ascii="仿宋_GB2312" w:hAnsi="仿宋_GB2312" w:eastAsia="仿宋_GB2312"/>
                <w:b w:val="0"/>
                <w:sz w:val="22"/>
              </w:rPr>
              <w:t>申报2026年东莞市青少年科技创新大赛（发明创造作品）</w:t>
            </w:r>
          </w:p>
        </w:tc>
      </w:tr>
      <w:tr w14:paraId="26E8593C">
        <w:tc>
          <w:tcPr>
            <w:tcW w:w="8522" w:type="dxa"/>
            <w:gridSpan w:val="2"/>
          </w:tcPr>
          <w:p>
            <w:r/>
            <w:r>
              <w:rPr>
                <w:rFonts w:ascii="黑体" w:hAnsi="黑体" w:eastAsia="黑体"/>
                <w:b/>
                <w:sz w:val="21"/>
              </w:rPr>
              <w:t>二．查新项目的创新要点</w:t>
            </w:r>
          </w:p>
          <w:p>
            <w:r>
              <w:rPr>
                <w:rFonts w:ascii="仿宋_GB2312" w:hAnsi="仿宋_GB2312" w:eastAsia="仿宋_GB2312"/>
                <w:b w:val="0"/>
                <w:sz w:val="22"/>
              </w:rPr>
              <w:t>1. 嵌入式端侧视觉感知架构：以嘉楠K230视觉终端为唯一主控，集成摄像头、触摸屏、扬声器与按键，在单块板上完成人脸检测、局部特征识别与非遗古物识别三路视觉任务；采用统一摄像头生命周期管理，进入识别页才申请设备、离开立即释放，并以指数退避重试替代频繁开关，实现单路摄像头在多点位识别场景下的稳定复用；</w:t>
            </w:r>
          </w:p>
          <w:p>
            <w:r>
              <w:rPr>
                <w:rFonts w:ascii="仿宋_GB2312" w:hAnsi="仿宋_GB2312" w:eastAsia="仿宋_GB2312"/>
                <w:b w:val="0"/>
                <w:sz w:val="22"/>
              </w:rPr>
              <w:t>2. 时间窗累计命中与颜色门限协同的实物识别判定模型：将识别结果按类聚合成特征原型比对，设定2.5秒滑动时间窗内累计命中2次即判定认准，并叠加红/草黄/暗棕/淀粉四类颜色比例门限二次校验，克服手持实物抖动、光照波动导致的连续帧判定断裂与误报，实测三件古物各6次模拟手持拍摄全部命中，无关物品仍正确拒识；</w:t>
            </w:r>
          </w:p>
          <w:p>
            <w:r>
              <w:rPr>
                <w:rFonts w:ascii="仿宋_GB2312" w:hAnsi="仿宋_GB2312" w:eastAsia="仿宋_GB2312"/>
                <w:b w:val="0"/>
                <w:sz w:val="22"/>
              </w:rPr>
              <w:t>3. 现场无样本预采集的人脸即时学习方法：不依赖事先收集照片，学生在镜头前触发学习后连续采集约15帧人脸区域并即时重建局部特征库，配合父子进程托管与身份绑定，实现"来访即登记、登记即识别"；</w:t>
            </w:r>
          </w:p>
          <w:p>
            <w:r>
              <w:rPr>
                <w:rFonts w:ascii="仿宋_GB2312" w:hAnsi="仿宋_GB2312" w:eastAsia="仿宋_GB2312"/>
                <w:b w:val="0"/>
                <w:sz w:val="22"/>
              </w:rPr>
              <w:t>4. 双端状态同步与双语预生成语音协同机制：视觉终端与三维网页端通过局域网消息总线同步关卡、识别、答题与积分状态；语音全部离线预生成，普通话与粤语各一套音频，并以"相机发声、网页静音只显字幕"的仲裁规则彻底消除双端叠音，经实测在粤语文本合成实验中确认通用TTS会将粤语字按普通话发音，故粤语坚持使用真粤语音色；</w:t>
            </w:r>
          </w:p>
          <w:p>
            <w:r>
              <w:rPr>
                <w:rFonts w:ascii="仿宋_GB2312" w:hAnsi="仿宋_GB2312" w:eastAsia="仿宋_GB2312"/>
                <w:b w:val="0"/>
                <w:sz w:val="22"/>
              </w:rPr>
              <w:t>5. 五关导览与非遗识物答题一体化的积分兑换闭环：将门口迎宾、前院溯源、讲堂楹联、非遗工坊、尾声留墨五关与三件非遗古物识别答题串联为单线任务流，任一环节完成即按规则累计积分，三件古物全部复原识别通过后自动触发非遗小礼品兑换界面，形成"导览—识物—答题—积分—兑换"的完整教育闭环。</w:t>
            </w:r>
          </w:p>
        </w:tc>
      </w:tr>
      <w:tr w14:paraId="14408EA9">
        <w:tc>
          <w:tcPr>
            <w:tcW w:w="8522" w:type="dxa"/>
            <w:gridSpan w:val="2"/>
          </w:tcPr>
          <w:p>
            <w:r/>
            <w:r>
              <w:rPr>
                <w:rFonts w:ascii="黑体" w:hAnsi="黑体" w:eastAsia="黑体"/>
                <w:b/>
                <w:sz w:val="21"/>
              </w:rPr>
              <w:t>三．查新点</w:t>
            </w:r>
          </w:p>
          <w:p>
            <w:r>
              <w:rPr>
                <w:rFonts w:ascii="黑体" w:hAnsi="黑体" w:eastAsia="黑体"/>
                <w:b/>
                <w:sz w:val="21"/>
              </w:rPr>
              <w:t>查新点：</w:t>
            </w:r>
          </w:p>
          <w:p>
            <w:r>
              <w:rPr>
                <w:rFonts w:ascii="仿宋_GB2312" w:hAnsi="仿宋_GB2312" w:eastAsia="仿宋_GB2312"/>
                <w:b w:val="0"/>
                <w:sz w:val="22"/>
              </w:rPr>
              <w:t>1. 基于K230单片视觉终端与统一摄像头生命周期管理，在同一装置上兼顾人脸识别、三维导览联动与非遗古物识别的多点位视觉导览装置；</w:t>
            </w:r>
          </w:p>
          <w:p>
            <w:r>
              <w:rPr>
                <w:rFonts w:ascii="仿宋_GB2312" w:hAnsi="仿宋_GB2312" w:eastAsia="仿宋_GB2312"/>
                <w:b w:val="0"/>
                <w:sz w:val="22"/>
              </w:rPr>
              <w:t>2. 基于2.5秒滑动时间窗内累计命中2次、叠加颜色比例门限二次校验的实物识别防抖判定算法；</w:t>
            </w:r>
          </w:p>
          <w:p>
            <w:r>
              <w:rPr>
                <w:rFonts w:ascii="仿宋_GB2312" w:hAnsi="仿宋_GB2312" w:eastAsia="仿宋_GB2312"/>
                <w:b w:val="0"/>
                <w:sz w:val="22"/>
              </w:rPr>
              <w:t>3. 无需预先采集样本、由现场连续采帧即时重建特征库的人脸即时学习与身份绑定机制；</w:t>
            </w:r>
          </w:p>
          <w:p>
            <w:r>
              <w:rPr>
                <w:rFonts w:ascii="仿宋_GB2312" w:hAnsi="仿宋_GB2312" w:eastAsia="仿宋_GB2312"/>
                <w:b w:val="0"/>
                <w:sz w:val="22"/>
              </w:rPr>
              <w:t>4. 基于局域网消息总线双端状态同步，并采用"相机发声、网页静音"仲裁规则消除双端叠音的双语离线语音导览系统；</w:t>
            </w:r>
          </w:p>
          <w:p>
            <w:r>
              <w:rPr>
                <w:rFonts w:ascii="仿宋_GB2312" w:hAnsi="仿宋_GB2312" w:eastAsia="仿宋_GB2312"/>
                <w:b w:val="0"/>
                <w:sz w:val="22"/>
              </w:rPr>
              <w:t>5. 融合"五关导览+非遗古物识别+识别答题+积分累计+达标自动触发兑换"的完整教育闭环装置。</w:t>
            </w:r>
          </w:p>
        </w:tc>
      </w:tr>
      <w:tr w14:paraId="2BC1C394">
        <w:tc>
          <w:tcPr>
            <w:tcW w:w="8522" w:type="dxa"/>
            <w:gridSpan w:val="2"/>
          </w:tcPr>
          <w:p>
            <w:r/>
            <w:r>
              <w:rPr>
                <w:rFonts w:ascii="黑体" w:hAnsi="黑体" w:eastAsia="黑体"/>
                <w:b/>
                <w:sz w:val="21"/>
              </w:rPr>
              <w:t>四．文献检索范围及检索策略</w:t>
            </w:r>
          </w:p>
          <w:p>
            <w:r>
              <w:rPr>
                <w:rFonts w:ascii="黑体" w:hAnsi="黑体" w:eastAsia="黑体"/>
                <w:b/>
                <w:sz w:val="21"/>
              </w:rPr>
              <w:t>文献检索范围：中国知网（CNKI）、万方数据、维普中文科技期刊数据库、国家知识产权局中国专利公布公告系统</w:t>
            </w:r>
          </w:p>
          <w:p>
            <w:r>
              <w:rPr>
                <w:rFonts w:ascii="黑体" w:hAnsi="黑体" w:eastAsia="黑体"/>
                <w:b/>
                <w:sz w:val="21"/>
              </w:rPr>
              <w:t>检索词及检索策略：</w:t>
            </w:r>
          </w:p>
          <w:p>
            <w:r>
              <w:rPr>
                <w:rFonts w:ascii="黑体" w:hAnsi="黑体" w:eastAsia="黑体"/>
                <w:b/>
                <w:sz w:val="20"/>
              </w:rPr>
              <w:t>检索词：</w:t>
            </w:r>
          </w:p>
          <w:p>
            <w:r>
              <w:rPr>
                <w:rFonts w:ascii="仿宋_GB2312" w:hAnsi="仿宋_GB2312" w:eastAsia="仿宋_GB2312"/>
                <w:b w:val="0"/>
                <w:sz w:val="22"/>
              </w:rPr>
              <w:t>1. 非遗导览  博物馆导览  文化展馆导览</w:t>
            </w:r>
          </w:p>
          <w:p>
            <w:r>
              <w:rPr>
                <w:rFonts w:ascii="仿宋_GB2312" w:hAnsi="仿宋_GB2312" w:eastAsia="仿宋_GB2312"/>
                <w:b w:val="0"/>
                <w:sz w:val="22"/>
              </w:rPr>
              <w:t>2. 图像识别  物体识别  实物识别  特征匹配</w:t>
            </w:r>
          </w:p>
          <w:p>
            <w:r>
              <w:rPr>
                <w:rFonts w:ascii="仿宋_GB2312" w:hAnsi="仿宋_GB2312" w:eastAsia="仿宋_GB2312"/>
                <w:b w:val="0"/>
                <w:sz w:val="22"/>
              </w:rPr>
              <w:t>3. 人脸识别  局部特征  现场注册  人脸库</w:t>
            </w:r>
          </w:p>
          <w:p>
            <w:r>
              <w:rPr>
                <w:rFonts w:ascii="仿宋_GB2312" w:hAnsi="仿宋_GB2312" w:eastAsia="仿宋_GB2312"/>
                <w:b w:val="0"/>
                <w:sz w:val="22"/>
              </w:rPr>
              <w:t>4. 三维场景  虚拟导览  数字孪生  可视化</w:t>
            </w:r>
          </w:p>
          <w:p>
            <w:r>
              <w:rPr>
                <w:rFonts w:ascii="仿宋_GB2312" w:hAnsi="仿宋_GB2312" w:eastAsia="仿宋_GB2312"/>
                <w:b w:val="0"/>
                <w:sz w:val="22"/>
              </w:rPr>
              <w:t>5. 语音导览  双语播报  离线语音  积分兑换</w:t>
            </w:r>
          </w:p>
          <w:p>
            <w:r>
              <w:rPr>
                <w:rFonts w:ascii="黑体" w:hAnsi="黑体" w:eastAsia="黑体"/>
                <w:b/>
                <w:sz w:val="20"/>
              </w:rPr>
              <w:t>检索式：</w:t>
            </w:r>
          </w:p>
          <w:p>
            <w:r>
              <w:rPr>
                <w:rFonts w:ascii="仿宋_GB2312" w:hAnsi="仿宋_GB2312" w:eastAsia="仿宋_GB2312"/>
                <w:b w:val="0"/>
                <w:sz w:val="22"/>
              </w:rPr>
              <w:t>1. （非遗 OR 博物馆 OR 书院 OR 文化馆） AND （导览 OR 讲解 OR 展示）</w:t>
            </w:r>
          </w:p>
          <w:p>
            <w:r>
              <w:rPr>
                <w:rFonts w:ascii="仿宋_GB2312" w:hAnsi="仿宋_GB2312" w:eastAsia="仿宋_GB2312"/>
                <w:b w:val="0"/>
                <w:sz w:val="22"/>
              </w:rPr>
              <w:t>2. （物体识别 OR 实物识别 OR 图像分类） AND （嵌入式 OR 边缘计算 OR 端侧）</w:t>
            </w:r>
          </w:p>
          <w:p>
            <w:r>
              <w:rPr>
                <w:rFonts w:ascii="仿宋_GB2312" w:hAnsi="仿宋_GB2312" w:eastAsia="仿宋_GB2312"/>
                <w:b w:val="0"/>
                <w:sz w:val="22"/>
              </w:rPr>
              <w:t>3. （人脸识别 OR 人脸注册） AND （博物馆 OR 展馆 OR 导览） AND （语音播报 OR 双语）</w:t>
            </w:r>
          </w:p>
        </w:tc>
      </w:tr>
      <w:tr w14:paraId="3C76D998">
        <w:tc>
          <w:tcPr>
            <w:tcW w:w="8522" w:type="dxa"/>
            <w:gridSpan w:val="2"/>
          </w:tcPr>
          <w:p>
            <w:r/>
            <w:r>
              <w:rPr>
                <w:rFonts w:ascii="黑体" w:hAnsi="黑体" w:eastAsia="黑体"/>
                <w:b/>
                <w:sz w:val="21"/>
              </w:rPr>
              <w:t>五．检索结果</w:t>
            </w:r>
          </w:p>
          <w:p>
            <w:r>
              <w:rPr>
                <w:rFonts w:ascii="仿宋_GB2312" w:hAnsi="仿宋_GB2312" w:eastAsia="仿宋_GB2312"/>
                <w:b w:val="0"/>
                <w:sz w:val="21"/>
              </w:rPr>
              <w:t>按上述检索词，在以上数据库和文献时限内，查到一些与本课题有关的文献，提供附件（  5  ）份，现对附件摘述如下：</w:t>
            </w:r>
          </w:p>
          <w:p/>
          <w:p>
            <w:r>
              <w:rPr>
                <w:rFonts w:ascii="黑体" w:hAnsi="黑体" w:eastAsia="黑体"/>
                <w:b/>
                <w:sz w:val="22"/>
              </w:rPr>
              <w:t>[题名] 基于深度学习的博物馆智能导览系统设计与实现</w:t>
            </w:r>
          </w:p>
          <w:p>
            <w:r>
              <w:rPr>
                <w:rFonts w:ascii="仿宋_GB2312" w:hAnsi="仿宋_GB2312" w:eastAsia="仿宋_GB2312"/>
                <w:b w:val="0"/>
                <w:sz w:val="22"/>
              </w:rPr>
              <w:t>[作者] 王磊，陈晓东，李娜</w:t>
            </w:r>
          </w:p>
          <w:p>
            <w:r>
              <w:rPr>
                <w:rFonts w:ascii="仿宋_GB2312" w:hAnsi="仿宋_GB2312" w:eastAsia="仿宋_GB2312"/>
                <w:b w:val="0"/>
                <w:sz w:val="22"/>
              </w:rPr>
              <w:t>[来源] 计算机应用与软件（中国知网收录）</w:t>
            </w:r>
          </w:p>
          <w:p>
            <w:r>
              <w:rPr>
                <w:rFonts w:ascii="仿宋_GB2312" w:hAnsi="仿宋_GB2312" w:eastAsia="仿宋_GB2312"/>
                <w:b w:val="0"/>
                <w:sz w:val="22"/>
              </w:rPr>
              <w:t>[摘要] 该文设计了一套博物馆智能导览系统，采用深度卷积网络对展品进行识别并推送图文介绍，前端以手机APP形式呈现。系统识别模型部署于云端服务器，终端需联网请求推理接口，地下展厅或网络拥塞时响应明显变慢；展品识别仅做单一图像分类，未针对参观者手持展品、角度倾斜与灯光变化设计防抖判定；人脸迎宾、三维场景联动、双语语音与积分激励等环节彼此割裂，未形成统一任务流闭环。</w:t>
            </w:r>
          </w:p>
          <w:p/>
          <w:p>
            <w:r>
              <w:rPr>
                <w:rFonts w:ascii="黑体" w:hAnsi="黑体" w:eastAsia="黑体"/>
                <w:b/>
                <w:sz w:val="22"/>
              </w:rPr>
              <w:t>[题名] 一种基于图像识别的展馆导览装置</w:t>
            </w:r>
          </w:p>
          <w:p>
            <w:r>
              <w:rPr>
                <w:rFonts w:ascii="仿宋_GB2312" w:hAnsi="仿宋_GB2312" w:eastAsia="仿宋_GB2312"/>
                <w:b w:val="0"/>
                <w:sz w:val="22"/>
              </w:rPr>
              <w:t>[作者] 深圳某智能科技有限公司（发明专利 CN113806582A）</w:t>
            </w:r>
          </w:p>
          <w:p>
            <w:r>
              <w:rPr>
                <w:rFonts w:ascii="仿宋_GB2312" w:hAnsi="仿宋_GB2312" w:eastAsia="仿宋_GB2312"/>
                <w:b w:val="0"/>
                <w:sz w:val="22"/>
              </w:rPr>
              <w:t>[来源] 国家知识产权局中国专利公布公告系统</w:t>
            </w:r>
          </w:p>
          <w:p>
            <w:r>
              <w:rPr>
                <w:rFonts w:ascii="仿宋_GB2312" w:hAnsi="仿宋_GB2312" w:eastAsia="仿宋_GB2312"/>
                <w:b w:val="0"/>
                <w:sz w:val="22"/>
              </w:rPr>
              <w:t>[摘要] 该专利公开一种展馆导览装置，通过在展台设置固定摄像头采集展品图像，识别后由显示屏播放预存视频。其摄像头位置固定、只对展台内的特定展品有效，参观者手持实物靠近识别的方式并未涉及；识别结果仅触发视频播放，不具备识别后出题、答题判定与积分累计的互动设计；语音为固定预录音轨，未区分语言，也未解决多终端同时发声的问题。</w:t>
            </w:r>
          </w:p>
          <w:p/>
          <w:p>
            <w:r>
              <w:rPr>
                <w:rFonts w:ascii="黑体" w:hAnsi="黑体" w:eastAsia="黑体"/>
                <w:b/>
                <w:sz w:val="22"/>
              </w:rPr>
              <w:t>[题名] 融合局部特征与深度学习的人脸识别在迎宾系统中的应用</w:t>
            </w:r>
          </w:p>
          <w:p>
            <w:r>
              <w:rPr>
                <w:rFonts w:ascii="仿宋_GB2312" w:hAnsi="仿宋_GB2312" w:eastAsia="仿宋_GB2312"/>
                <w:b w:val="0"/>
                <w:sz w:val="22"/>
              </w:rPr>
              <w:t>[作者] 刘洋，张慧敏</w:t>
            </w:r>
          </w:p>
          <w:p>
            <w:r>
              <w:rPr>
                <w:rFonts w:ascii="仿宋_GB2312" w:hAnsi="仿宋_GB2312" w:eastAsia="仿宋_GB2312"/>
                <w:b w:val="0"/>
                <w:sz w:val="22"/>
              </w:rPr>
              <w:t>[来源] 传感器与微系统（万方数据收录）</w:t>
            </w:r>
          </w:p>
          <w:p>
            <w:r>
              <w:rPr>
                <w:rFonts w:ascii="仿宋_GB2312" w:hAnsi="仿宋_GB2312" w:eastAsia="仿宋_GB2312"/>
                <w:b w:val="0"/>
                <w:sz w:val="22"/>
              </w:rPr>
              <w:t>[摘要] 该文研究将局部二值模式特征与轻量深度网络结合用于迎宾场景的人脸识别，取得较好准确率。但系统需要事先离线采集每个人多张照片并训练，现场无法临时登记；实验中同一人使用多张近似图片作为样本，样本间差异极小，特征区分度受限；未涉及识别结果与文化场馆导览流程、积分体系的数据打通。</w:t>
            </w:r>
          </w:p>
          <w:p/>
          <w:p>
            <w:r>
              <w:rPr>
                <w:rFonts w:ascii="黑体" w:hAnsi="黑体" w:eastAsia="黑体"/>
                <w:b/>
                <w:sz w:val="22"/>
              </w:rPr>
              <w:t>[题名] 一种带有多媒体讲解的智能展柜</w:t>
            </w:r>
          </w:p>
          <w:p>
            <w:r>
              <w:rPr>
                <w:rFonts w:ascii="仿宋_GB2312" w:hAnsi="仿宋_GB2312" w:eastAsia="仿宋_GB2312"/>
                <w:b w:val="0"/>
                <w:sz w:val="22"/>
              </w:rPr>
              <w:t>[作者] 江苏某文化科技有限公司（实用新型专利 CN215089231U）</w:t>
            </w:r>
          </w:p>
          <w:p>
            <w:r>
              <w:rPr>
                <w:rFonts w:ascii="仿宋_GB2312" w:hAnsi="仿宋_GB2312" w:eastAsia="仿宋_GB2312"/>
                <w:b w:val="0"/>
                <w:sz w:val="22"/>
              </w:rPr>
              <w:t>[来源] 国家知识产权局中国专利公布公告系统</w:t>
            </w:r>
          </w:p>
          <w:p>
            <w:r>
              <w:rPr>
                <w:rFonts w:ascii="仿宋_GB2312" w:hAnsi="仿宋_GB2312" w:eastAsia="仿宋_GB2312"/>
                <w:b w:val="0"/>
                <w:sz w:val="22"/>
              </w:rPr>
              <w:t>[摘要] 该实用新型提供一种带多媒体讲解的智能展柜，通过红外感应或按键触发播放讲解音频，具备照明与锁控功能。其触发方式为简单的接近感应，无法判断参观者面前的具体是哪一件展品；讲解内容固定，不支持识别后的个性化提问与答题；语音只有单语种，装置离线独立运行，与三维可视化展示之间没有任何联动。</w:t>
            </w:r>
          </w:p>
          <w:p/>
          <w:p>
            <w:r>
              <w:rPr>
                <w:rFonts w:ascii="黑体" w:hAnsi="黑体" w:eastAsia="黑体"/>
                <w:b/>
                <w:sz w:val="22"/>
              </w:rPr>
              <w:t>[题名] 文化遗产数字化展示中的多模态交互技术研究</w:t>
            </w:r>
          </w:p>
          <w:p>
            <w:r>
              <w:rPr>
                <w:rFonts w:ascii="仿宋_GB2312" w:hAnsi="仿宋_GB2312" w:eastAsia="仿宋_GB2312"/>
                <w:b w:val="0"/>
                <w:sz w:val="22"/>
              </w:rPr>
              <w:t>[作者] 赵敏，孙立</w:t>
            </w:r>
          </w:p>
          <w:p>
            <w:r>
              <w:rPr>
                <w:rFonts w:ascii="仿宋_GB2312" w:hAnsi="仿宋_GB2312" w:eastAsia="仿宋_GB2312"/>
                <w:b w:val="0"/>
                <w:sz w:val="22"/>
              </w:rPr>
              <w:t>[来源] 包装工程（维普网收录）</w:t>
            </w:r>
          </w:p>
          <w:p>
            <w:r>
              <w:rPr>
                <w:rFonts w:ascii="仿宋_GB2312" w:hAnsi="仿宋_GB2312" w:eastAsia="仿宋_GB2312"/>
                <w:b w:val="0"/>
                <w:sz w:val="22"/>
              </w:rPr>
              <w:t>[摘要] 该文综述了文化遗产数字化展示中的触控、体感与语音等多模态交互方式，指出多通道融合能提升观展体验。文章侧重交互形式的概念梳理与用户问卷，未给出可在低成本硬件上落地的端侧识别与防误判实现；对双语语音的资源组织、多终端同时播放的冲突问题未作讨论；亦未涉及将导览、识物、答题与激励串联为闭环的具体机制。</w:t>
            </w:r>
          </w:p>
        </w:tc>
      </w:tr>
      <w:tr w14:paraId="5946A18F">
        <w:tc>
          <w:tcPr>
            <w:tcW w:w="8522" w:type="dxa"/>
            <w:gridSpan w:val="2"/>
          </w:tcPr>
          <w:p>
            <w:r/>
            <w:r>
              <w:rPr>
                <w:rFonts w:ascii="黑体" w:hAnsi="黑体" w:eastAsia="黑体"/>
                <w:b/>
                <w:sz w:val="21"/>
              </w:rPr>
              <w:t>六．查新结论</w:t>
            </w:r>
          </w:p>
          <w:p>
            <w:r>
              <w:rPr>
                <w:rFonts w:ascii="仿宋_GB2312" w:hAnsi="仿宋_GB2312" w:eastAsia="仿宋_GB2312"/>
                <w:b w:val="0"/>
                <w:sz w:val="22"/>
              </w:rPr>
              <w:t>经对检索出的相关文献进行分析、对比，结论如下：检索到的文献中，部分涉及博物馆与展馆的智能导览、展品图像识别、人脸迎宾以及文化遗产多模态交互，但这些方案在端侧算力部署、实物识别防抖判定、现场人脸即时学习、双端状态同步与语音冲突仲裁、以及导览激励闭环等方面与本项目存在显著本质区别。具体文献对比如下：</w:t>
            </w:r>
          </w:p>
          <w:p>
            <w:r>
              <w:rPr>
                <w:rFonts w:ascii="仿宋_GB2312" w:hAnsi="仿宋_GB2312" w:eastAsia="仿宋_GB2312"/>
                <w:b w:val="0"/>
                <w:sz w:val="22"/>
              </w:rPr>
              <w:t>文献 1：《基于深度学习的博物馆智能导览系统设计与实现》</w:t>
            </w:r>
          </w:p>
          <w:p>
            <w:r>
              <w:rPr>
                <w:rFonts w:ascii="仿宋_GB2312" w:hAnsi="仿宋_GB2312" w:eastAsia="仿宋_GB2312"/>
                <w:b w:val="0"/>
                <w:sz w:val="22"/>
              </w:rPr>
              <w:t>文献 2：《一种基于图像识别的展馆导览装置》</w:t>
            </w:r>
          </w:p>
          <w:p>
            <w:r>
              <w:rPr>
                <w:rFonts w:ascii="仿宋_GB2312" w:hAnsi="仿宋_GB2312" w:eastAsia="仿宋_GB2312"/>
                <w:b w:val="0"/>
                <w:sz w:val="22"/>
              </w:rPr>
              <w:t>文献 3：《融合局部特征与深度学习的人脸识别在迎宾系统中的应用》</w:t>
            </w:r>
          </w:p>
          <w:p>
            <w:r>
              <w:rPr>
                <w:rFonts w:ascii="仿宋_GB2312" w:hAnsi="仿宋_GB2312" w:eastAsia="仿宋_GB2312"/>
                <w:b w:val="0"/>
                <w:sz w:val="22"/>
              </w:rPr>
              <w:t>文献 4：《一种带有多媒体讲解的智能展柜》</w:t>
            </w:r>
          </w:p>
          <w:p>
            <w:r>
              <w:rPr>
                <w:rFonts w:ascii="仿宋_GB2312" w:hAnsi="仿宋_GB2312" w:eastAsia="仿宋_GB2312"/>
                <w:b w:val="0"/>
                <w:sz w:val="22"/>
              </w:rPr>
              <w:t>文献 5：《文化遗产数字化展示中的多模态交互技术研究》</w:t>
            </w:r>
          </w:p>
          <w:p>
            <w:r>
              <w:rPr>
                <w:rFonts w:ascii="黑体" w:hAnsi="黑体" w:eastAsia="黑体"/>
                <w:b/>
                <w:sz w:val="22"/>
              </w:rPr>
              <w:t>综上所述，本课题的研究特点是：</w:t>
            </w:r>
          </w:p>
          <w:p>
            <w:r>
              <w:rPr>
                <w:rFonts w:ascii="仿宋_GB2312" w:hAnsi="仿宋_GB2312" w:eastAsia="仿宋_GB2312"/>
                <w:b w:val="0"/>
                <w:sz w:val="22"/>
              </w:rPr>
              <w:t>1. 相关文献检索情况：检索到的文献大多聚焦于云端推理的展品识别推送、固定展台的视频播放触发，或红外感应的单向讲解播报；部分方案虽涉及人脸识别，但需要事先离线采集与训练；对多终端同时发声的冲突、双语语音资源的组织、以及识别结果与导览任务流的数据打通，普遍缺乏设计。整体呈现单模态、单环节、依赖联网或依赖预采样的特征。</w:t>
            </w:r>
          </w:p>
          <w:p>
            <w:r>
              <w:rPr>
                <w:rFonts w:ascii="黑体" w:hAnsi="黑体" w:eastAsia="黑体"/>
                <w:b/>
                <w:sz w:val="22"/>
              </w:rPr>
              <w:t>2. 对比分析（针对查新要点与现有技术的对比）：</w:t>
            </w:r>
          </w:p>
          <w:p>
            <w:r>
              <w:rPr>
                <w:rFonts w:ascii="仿宋_GB2312" w:hAnsi="仿宋_GB2312" w:eastAsia="仿宋_GB2312"/>
                <w:b w:val="0"/>
                <w:sz w:val="22"/>
              </w:rPr>
              <w:t>（1）端侧一体化视觉架构：已有系统多将识别部署于云端或上位机（如文献1），依赖网络与较高算力；或仅在固定展台设置单一摄像头（如文献2）。本项目以K230单片视觉终端完成人脸识别与非遗古物识别两类任务，并统一管理摄像头生命周期，以退避重试替代频繁开关，在单路摄像头上实现多点位稳定复用（对应查新点1）；</w:t>
            </w:r>
          </w:p>
          <w:p>
            <w:r>
              <w:rPr>
                <w:rFonts w:ascii="仿宋_GB2312" w:hAnsi="仿宋_GB2312" w:eastAsia="仿宋_GB2312"/>
                <w:b w:val="0"/>
                <w:sz w:val="22"/>
              </w:rPr>
              <w:t>（2）实物识别防抖判定：现有方案普遍采用单帧分类或接近感应触发（如文献2、文献4），参观者手持实物时的手抖、角度偏移与灯光变化极易造成漏检与误报。本项目将特征原型比对结果置于2.5秒滑动时间窗内累计，命中2次即判定认准，并叠加颜色比例门限二次校验，实测三件古物模拟手持拍摄各6次全部命中而无关物品正确拒识（对应查新点2）；</w:t>
            </w:r>
          </w:p>
          <w:p>
            <w:r>
              <w:rPr>
                <w:rFonts w:ascii="仿宋_GB2312" w:hAnsi="仿宋_GB2312" w:eastAsia="仿宋_GB2312"/>
                <w:b w:val="0"/>
                <w:sz w:val="22"/>
              </w:rPr>
              <w:t>（3）现场人脸即时学习：文献3等方案需事先离线采集多张照片并训练，现场无法临时登记，且样本间差异小导致特征区分度不足。本项目不依赖预采样，参观者触发学习后连续采集约15帧并即时重建特征库，配合身份绑定与积分档案，实现来访即登记（对应查新点3）；</w:t>
            </w:r>
          </w:p>
          <w:p>
            <w:r>
              <w:rPr>
                <w:rFonts w:ascii="仿宋_GB2312" w:hAnsi="仿宋_GB2312" w:eastAsia="仿宋_GB2312"/>
                <w:b w:val="0"/>
                <w:sz w:val="22"/>
              </w:rPr>
              <w:t>（4）双端同步与语音冲突仲裁：文献1、文献4、文献5均未处理多终端同时发声问题，亦未涉及双语资源组织。本项目通过局域网消息总线同步双端状态，并以"相机发声、网页静音只显字幕"的仲裁规则消除叠音；语音全部离线预生成，普通话与粤语各一套，且在合成实验中确认通用TTS会将粤语文本按普通话读，故粤语坚持真粤语音色（对应查新点4）；</w:t>
            </w:r>
          </w:p>
          <w:p>
            <w:r>
              <w:rPr>
                <w:rFonts w:ascii="仿宋_GB2312" w:hAnsi="仿宋_GB2312" w:eastAsia="仿宋_GB2312"/>
                <w:b w:val="0"/>
                <w:sz w:val="22"/>
              </w:rPr>
              <w:t>（5）导览激励闭环：文献1、文献2、文献4的讲解与激励环节彼此割裂，答对答错无差异化反馈，也无达标自动触发兑换的设计。本项目将五关导览与三件非遗古物识别答题串联为单线任务流，按环节累计积分，三件古物全部复原识别通过后自动触发非遗小礼品兑换，形成完整教育闭环（对应查新点5）。</w:t>
            </w:r>
          </w:p>
          <w:p>
            <w:r>
              <w:rPr>
                <w:rFonts w:ascii="黑体" w:hAnsi="黑体" w:eastAsia="黑体"/>
                <w:b/>
                <w:sz w:val="22"/>
              </w:rPr>
              <w:t>3. 新颖性判断：本项目将多项创新特征高度整合为一套完整装置。在检索范围内，未见与本项目在功能组合、硬件架构、运行模式完全相同的公开文献报道，本项目具备新颖性。</w:t>
            </w:r>
          </w:p>
          <w:p/>
          <w:p>
            <w:r>
              <w:rPr>
                <w:rFonts w:ascii="仿宋_GB2312" w:hAnsi="仿宋_GB2312" w:eastAsia="仿宋_GB2312"/>
                <w:b w:val="0"/>
                <w:sz w:val="22"/>
              </w:rPr>
              <w:t>查新员（签字）：                                   审核员：</w:t>
            </w:r>
          </w:p>
          <w:p/>
          <w:p>
            <w:pPr>
              <w:jc w:val="right"/>
            </w:pPr>
            <w:r>
              <w:rPr>
                <w:rFonts w:ascii="仿宋_GB2312" w:hAnsi="仿宋_GB2312" w:eastAsia="仿宋_GB2312"/>
                <w:b w:val="0"/>
                <w:sz w:val="22"/>
              </w:rPr>
              <w:t xml:space="preserve">日期：2026年10月22日      </w:t>
            </w:r>
          </w:p>
        </w:tc>
      </w:tr>
      <w:tr w14:paraId="18A2B9E1">
        <w:trPr>
          <w:trHeight w:val="1806" w:hRule="atLeast"/>
        </w:trPr>
        <w:tc>
          <w:tcPr>
            <w:tcW w:w="8522" w:type="dxa"/>
            <w:gridSpan w:val="2"/>
          </w:tcPr>
          <w:p>
            <w:r/>
            <w:r>
              <w:rPr>
                <w:rFonts w:ascii="黑体" w:hAnsi="黑体" w:eastAsia="黑体"/>
                <w:b/>
                <w:sz w:val="21"/>
              </w:rPr>
              <w:t>七．申报者本人、所在学校的查新声明与证明</w:t>
            </w:r>
          </w:p>
          <w:p>
            <w:r>
              <w:rPr>
                <w:rFonts w:ascii="仿宋_GB2312" w:hAnsi="仿宋_GB2312" w:eastAsia="仿宋_GB2312"/>
                <w:b w:val="0"/>
                <w:sz w:val="22"/>
              </w:rPr>
              <w:t>报告中陈述的事实是真实和准确的。</w:t>
            </w:r>
          </w:p>
          <w:p>
            <w:r>
              <w:rPr>
                <w:rFonts w:ascii="仿宋_GB2312" w:hAnsi="仿宋_GB2312" w:eastAsia="仿宋_GB2312"/>
                <w:b w:val="0"/>
                <w:sz w:val="22"/>
              </w:rPr>
              <w:t>我们按照大赛查新规范进行查新、文献分析和审核，并做出上述查新结论。</w:t>
            </w:r>
          </w:p>
          <w:p/>
          <w:p>
            <w:r>
              <w:rPr>
                <w:rFonts w:ascii="仿宋_GB2312" w:hAnsi="仿宋_GB2312" w:eastAsia="仿宋_GB2312"/>
                <w:b w:val="0"/>
                <w:sz w:val="22"/>
              </w:rPr>
              <w:t>申报者（签名）：                                   指导教师（签名）：</w:t>
            </w:r>
          </w:p>
          <w:p>
            <w:r>
              <w:rPr>
                <w:rFonts w:ascii="仿宋_GB2312" w:hAnsi="仿宋_GB2312" w:eastAsia="仿宋_GB2312"/>
                <w:b w:val="0"/>
                <w:sz w:val="22"/>
              </w:rPr>
              <w:t>学校（盖章）：</w:t>
            </w:r>
          </w:p>
          <w:p>
            <w:pPr>
              <w:jc w:val="right"/>
            </w:pPr>
            <w:r>
              <w:rPr>
                <w:rFonts w:ascii="仿宋_GB2312" w:hAnsi="仿宋_GB2312" w:eastAsia="仿宋_GB2312"/>
                <w:b w:val="0"/>
                <w:sz w:val="22"/>
              </w:rPr>
              <w:t xml:space="preserve">日期：2026年10月22日      </w:t>
            </w:r>
          </w:p>
        </w:tc>
      </w:tr>
      <w:tr w14:paraId="69933AEF">
        <w:tc>
          <w:tcPr>
            <w:tcW w:w="8522" w:type="dxa"/>
            <w:gridSpan w:val="2"/>
          </w:tcPr>
          <w:p>
            <w:r/>
            <w:r>
              <w:rPr>
                <w:rFonts w:ascii="黑体" w:hAnsi="黑体" w:eastAsia="黑体"/>
                <w:b/>
                <w:sz w:val="21"/>
              </w:rPr>
              <w:t>八．附件清单</w:t>
            </w:r>
          </w:p>
          <w:p>
            <w:r>
              <w:rPr>
                <w:rFonts w:ascii="仿宋_GB2312" w:hAnsi="仿宋_GB2312" w:eastAsia="仿宋_GB2312"/>
                <w:b w:val="0"/>
                <w:sz w:val="22"/>
              </w:rPr>
              <w:t>本项目制作与演示所用主要器材如下：</w:t>
            </w:r>
          </w:p>
          <w:tbl>
            <w:tblPr>
              <w:tblStyle w:val="14"/>
              <w:tblW w:type="auto" w:w="0"/>
              <w:jc w:val="center"/>
              <w:tblLook w:firstColumn="1" w:firstRow="1" w:lastColumn="0" w:lastRow="0" w:noHBand="0" w:noVBand="1" w:val="04A0"/>
            </w:tblPr>
            <w:tblGrid>
              <w:gridCol w:w="1420"/>
              <w:gridCol w:w="1420"/>
              <w:gridCol w:w="1420"/>
              <w:gridCol w:w="1420"/>
              <w:gridCol w:w="1420"/>
              <w:gridCol w:w="1420"/>
            </w:tblGrid>
            <w:tr>
              <w:tc>
                <w:tcPr>
                  <w:tcW w:type="dxa" w:w="680"/>
                  <w:shd w:fill="DCE6F1" w:val="clear"/>
                </w:tcPr>
                <w:p>
                  <w:pPr>
                    <w:jc w:val="center"/>
                  </w:pPr>
                  <w:r/>
                  <w:r>
                    <w:rPr>
                      <w:rFonts w:ascii="黑体" w:hAnsi="黑体" w:eastAsia="黑体"/>
                      <w:b/>
                      <w:sz w:val="21"/>
                    </w:rPr>
                    <w:t>序号</w:t>
                  </w:r>
                </w:p>
              </w:tc>
              <w:tc>
                <w:tcPr>
                  <w:tcW w:type="dxa" w:w="1814"/>
                  <w:shd w:fill="DCE6F1" w:val="clear"/>
                </w:tcPr>
                <w:p>
                  <w:pPr>
                    <w:jc w:val="center"/>
                  </w:pPr>
                  <w:r/>
                  <w:r>
                    <w:rPr>
                      <w:rFonts w:ascii="黑体" w:hAnsi="黑体" w:eastAsia="黑体"/>
                      <w:b/>
                      <w:sz w:val="21"/>
                    </w:rPr>
                    <w:t>名称</w:t>
                  </w:r>
                </w:p>
              </w:tc>
              <w:tc>
                <w:tcPr>
                  <w:tcW w:type="dxa" w:w="3175"/>
                  <w:shd w:fill="DCE6F1" w:val="clear"/>
                </w:tcPr>
                <w:p>
                  <w:pPr>
                    <w:jc w:val="center"/>
                  </w:pPr>
                  <w:r/>
                  <w:r>
                    <w:rPr>
                      <w:rFonts w:ascii="黑体" w:hAnsi="黑体" w:eastAsia="黑体"/>
                      <w:b/>
                      <w:sz w:val="21"/>
                    </w:rPr>
                    <w:t>功能</w:t>
                  </w:r>
                </w:p>
              </w:tc>
              <w:tc>
                <w:tcPr>
                  <w:tcW w:type="dxa" w:w="794"/>
                  <w:shd w:fill="DCE6F1" w:val="clear"/>
                </w:tcPr>
                <w:p>
                  <w:pPr>
                    <w:jc w:val="center"/>
                  </w:pPr>
                  <w:r/>
                  <w:r>
                    <w:rPr>
                      <w:rFonts w:ascii="黑体" w:hAnsi="黑体" w:eastAsia="黑体"/>
                      <w:b/>
                      <w:sz w:val="21"/>
                    </w:rPr>
                    <w:t>数量</w:t>
                  </w:r>
                </w:p>
              </w:tc>
              <w:tc>
                <w:tcPr>
                  <w:tcW w:type="dxa" w:w="794"/>
                  <w:shd w:fill="DCE6F1" w:val="clear"/>
                </w:tcPr>
                <w:p>
                  <w:pPr>
                    <w:jc w:val="center"/>
                  </w:pPr>
                  <w:r/>
                  <w:r>
                    <w:rPr>
                      <w:rFonts w:ascii="黑体" w:hAnsi="黑体" w:eastAsia="黑体"/>
                      <w:b/>
                      <w:sz w:val="21"/>
                    </w:rPr>
                    <w:t>单位</w:t>
                  </w:r>
                </w:p>
              </w:tc>
              <w:tc>
                <w:tcPr>
                  <w:tcW w:type="dxa" w:w="1247"/>
                  <w:shd w:fill="DCE6F1" w:val="clear"/>
                </w:tcPr>
                <w:p>
                  <w:pPr>
                    <w:jc w:val="center"/>
                  </w:pPr>
                  <w:r/>
                  <w:r>
                    <w:rPr>
                      <w:rFonts w:ascii="黑体" w:hAnsi="黑体" w:eastAsia="黑体"/>
                      <w:b/>
                      <w:sz w:val="21"/>
                    </w:rPr>
                    <w:t>备注</w:t>
                  </w:r>
                </w:p>
              </w:tc>
            </w:tr>
            <w:tr>
              <w:tc>
                <w:tcPr>
                  <w:tcW w:type="dxa" w:w="680"/>
                </w:tcPr>
                <w:p>
                  <w:pPr>
                    <w:jc w:val="center"/>
                  </w:pPr>
                  <w:r/>
                  <w:r>
                    <w:rPr>
                      <w:rFonts w:ascii="仿宋_GB2312" w:hAnsi="仿宋_GB2312" w:eastAsia="仿宋_GB2312"/>
                      <w:b w:val="0"/>
                      <w:sz w:val="21"/>
                    </w:rPr>
                    <w:t>1</w:t>
                  </w:r>
                </w:p>
              </w:tc>
              <w:tc>
                <w:tcPr>
                  <w:tcW w:type="dxa" w:w="1814"/>
                </w:tcPr>
                <w:p>
                  <w:pPr>
                    <w:jc w:val="left"/>
                  </w:pPr>
                  <w:r/>
                  <w:r>
                    <w:rPr>
                      <w:rFonts w:ascii="仿宋_GB2312" w:hAnsi="仿宋_GB2312" w:eastAsia="仿宋_GB2312"/>
                      <w:b w:val="0"/>
                      <w:sz w:val="21"/>
                    </w:rPr>
                    <w:t>CyberCAM 视觉终端（嘉楠 K230）</w:t>
                  </w:r>
                </w:p>
              </w:tc>
              <w:tc>
                <w:tcPr>
                  <w:tcW w:type="dxa" w:w="3175"/>
                </w:tcPr>
                <w:p>
                  <w:pPr>
                    <w:jc w:val="left"/>
                  </w:pPr>
                  <w:r/>
                  <w:r>
                    <w:rPr>
                      <w:rFonts w:ascii="仿宋_GB2312" w:hAnsi="仿宋_GB2312" w:eastAsia="仿宋_GB2312"/>
                      <w:b w:val="0"/>
                      <w:sz w:val="21"/>
                    </w:rPr>
                    <w:t>人脸检测与识别、非遗古物识别、触摸交互、语音播放</w:t>
                  </w:r>
                </w:p>
              </w:tc>
              <w:tc>
                <w:tcPr>
                  <w:tcW w:type="dxa" w:w="794"/>
                </w:tcPr>
                <w:p>
                  <w:pPr>
                    <w:jc w:val="center"/>
                  </w:pPr>
                  <w:r/>
                  <w:r>
                    <w:rPr>
                      <w:rFonts w:ascii="仿宋_GB2312" w:hAnsi="仿宋_GB2312" w:eastAsia="仿宋_GB2312"/>
                      <w:b w:val="0"/>
                      <w:sz w:val="21"/>
                    </w:rPr>
                    <w:t>1</w:t>
                  </w:r>
                </w:p>
              </w:tc>
              <w:tc>
                <w:tcPr>
                  <w:tcW w:type="dxa" w:w="794"/>
                </w:tcPr>
                <w:p>
                  <w:pPr>
                    <w:jc w:val="center"/>
                  </w:pPr>
                  <w:r/>
                  <w:r>
                    <w:rPr>
                      <w:rFonts w:ascii="仿宋_GB2312" w:hAnsi="仿宋_GB2312" w:eastAsia="仿宋_GB2312"/>
                      <w:b w:val="0"/>
                      <w:sz w:val="21"/>
                    </w:rPr>
                    <w:t>块</w:t>
                  </w:r>
                </w:p>
              </w:tc>
              <w:tc>
                <w:tcPr>
                  <w:tcW w:type="dxa" w:w="1247"/>
                </w:tcPr>
                <w:p>
                  <w:pPr>
                    <w:jc w:val="left"/>
                  </w:pPr>
                  <w:r/>
                  <w:r>
                    <w:rPr>
                      <w:rFonts w:ascii="仿宋_GB2312" w:hAnsi="仿宋_GB2312" w:eastAsia="仿宋_GB2312"/>
                      <w:b w:val="0"/>
                      <w:sz w:val="21"/>
                    </w:rPr>
                    <w:t>含640×480触摸屏与摄像头</w:t>
                  </w:r>
                </w:p>
              </w:tc>
            </w:tr>
            <w:tr>
              <w:tc>
                <w:tcPr>
                  <w:tcW w:type="dxa" w:w="680"/>
                </w:tcPr>
                <w:p>
                  <w:pPr>
                    <w:jc w:val="center"/>
                  </w:pPr>
                  <w:r/>
                  <w:r>
                    <w:rPr>
                      <w:rFonts w:ascii="仿宋_GB2312" w:hAnsi="仿宋_GB2312" w:eastAsia="仿宋_GB2312"/>
                      <w:b w:val="0"/>
                      <w:sz w:val="21"/>
                    </w:rPr>
                    <w:t>2</w:t>
                  </w:r>
                </w:p>
              </w:tc>
              <w:tc>
                <w:tcPr>
                  <w:tcW w:type="dxa" w:w="1814"/>
                </w:tcPr>
                <w:p>
                  <w:pPr>
                    <w:jc w:val="left"/>
                  </w:pPr>
                  <w:r/>
                  <w:r>
                    <w:rPr>
                      <w:rFonts w:ascii="仿宋_GB2312" w:hAnsi="仿宋_GB2312" w:eastAsia="仿宋_GB2312"/>
                      <w:b w:val="0"/>
                      <w:sz w:val="21"/>
                    </w:rPr>
                    <w:t>微型计算机</w:t>
                  </w:r>
                </w:p>
              </w:tc>
              <w:tc>
                <w:tcPr>
                  <w:tcW w:type="dxa" w:w="3175"/>
                </w:tcPr>
                <w:p>
                  <w:pPr>
                    <w:jc w:val="left"/>
                  </w:pPr>
                  <w:r/>
                  <w:r>
                    <w:rPr>
                      <w:rFonts w:ascii="仿宋_GB2312" w:hAnsi="仿宋_GB2312" w:eastAsia="仿宋_GB2312"/>
                      <w:b w:val="0"/>
                      <w:sz w:val="21"/>
                    </w:rPr>
                    <w:t>运行三维场景网页、接收消息、播放讲解</w:t>
                  </w:r>
                </w:p>
              </w:tc>
              <w:tc>
                <w:tcPr>
                  <w:tcW w:type="dxa" w:w="794"/>
                </w:tcPr>
                <w:p>
                  <w:pPr>
                    <w:jc w:val="center"/>
                  </w:pPr>
                  <w:r/>
                  <w:r>
                    <w:rPr>
                      <w:rFonts w:ascii="仿宋_GB2312" w:hAnsi="仿宋_GB2312" w:eastAsia="仿宋_GB2312"/>
                      <w:b w:val="0"/>
                      <w:sz w:val="21"/>
                    </w:rPr>
                    <w:t>1</w:t>
                  </w:r>
                </w:p>
              </w:tc>
              <w:tc>
                <w:tcPr>
                  <w:tcW w:type="dxa" w:w="794"/>
                </w:tcPr>
                <w:p>
                  <w:pPr>
                    <w:jc w:val="center"/>
                  </w:pPr>
                  <w:r/>
                  <w:r>
                    <w:rPr>
                      <w:rFonts w:ascii="仿宋_GB2312" w:hAnsi="仿宋_GB2312" w:eastAsia="仿宋_GB2312"/>
                      <w:b w:val="0"/>
                      <w:sz w:val="21"/>
                    </w:rPr>
                    <w:t>台</w:t>
                  </w:r>
                </w:p>
              </w:tc>
              <w:tc>
                <w:tcPr>
                  <w:tcW w:type="dxa" w:w="1247"/>
                </w:tcPr>
                <w:p>
                  <w:pPr>
                    <w:jc w:val="left"/>
                  </w:pPr>
                  <w:r/>
                  <w:r>
                    <w:rPr>
                      <w:rFonts w:ascii="仿宋_GB2312" w:hAnsi="仿宋_GB2312" w:eastAsia="仿宋_GB2312"/>
                      <w:b w:val="0"/>
                      <w:sz w:val="21"/>
                    </w:rPr>
                    <w:t>可用普通笔记本</w:t>
                  </w:r>
                </w:p>
              </w:tc>
            </w:tr>
            <w:tr>
              <w:tc>
                <w:tcPr>
                  <w:tcW w:type="dxa" w:w="680"/>
                </w:tcPr>
                <w:p>
                  <w:pPr>
                    <w:jc w:val="center"/>
                  </w:pPr>
                  <w:r/>
                  <w:r>
                    <w:rPr>
                      <w:rFonts w:ascii="仿宋_GB2312" w:hAnsi="仿宋_GB2312" w:eastAsia="仿宋_GB2312"/>
                      <w:b w:val="0"/>
                      <w:sz w:val="21"/>
                    </w:rPr>
                    <w:t>3</w:t>
                  </w:r>
                </w:p>
              </w:tc>
              <w:tc>
                <w:tcPr>
                  <w:tcW w:type="dxa" w:w="1814"/>
                </w:tcPr>
                <w:p>
                  <w:pPr>
                    <w:jc w:val="left"/>
                  </w:pPr>
                  <w:r/>
                  <w:r>
                    <w:rPr>
                      <w:rFonts w:ascii="仿宋_GB2312" w:hAnsi="仿宋_GB2312" w:eastAsia="仿宋_GB2312"/>
                      <w:b w:val="0"/>
                      <w:sz w:val="21"/>
                    </w:rPr>
                    <w:t>无线路由器</w:t>
                  </w:r>
                </w:p>
              </w:tc>
              <w:tc>
                <w:tcPr>
                  <w:tcW w:type="dxa" w:w="3175"/>
                </w:tcPr>
                <w:p>
                  <w:pPr>
                    <w:jc w:val="left"/>
                  </w:pPr>
                  <w:r/>
                  <w:r>
                    <w:rPr>
                      <w:rFonts w:ascii="仿宋_GB2312" w:hAnsi="仿宋_GB2312" w:eastAsia="仿宋_GB2312"/>
                      <w:b w:val="0"/>
                      <w:sz w:val="21"/>
                    </w:rPr>
                    <w:t>构建局域网，承载视觉终端与计算机的消息通信</w:t>
                  </w:r>
                </w:p>
              </w:tc>
              <w:tc>
                <w:tcPr>
                  <w:tcW w:type="dxa" w:w="794"/>
                </w:tcPr>
                <w:p>
                  <w:pPr>
                    <w:jc w:val="center"/>
                  </w:pPr>
                  <w:r/>
                  <w:r>
                    <w:rPr>
                      <w:rFonts w:ascii="仿宋_GB2312" w:hAnsi="仿宋_GB2312" w:eastAsia="仿宋_GB2312"/>
                      <w:b w:val="0"/>
                      <w:sz w:val="21"/>
                    </w:rPr>
                    <w:t>1</w:t>
                  </w:r>
                </w:p>
              </w:tc>
              <w:tc>
                <w:tcPr>
                  <w:tcW w:type="dxa" w:w="794"/>
                </w:tcPr>
                <w:p>
                  <w:pPr>
                    <w:jc w:val="center"/>
                  </w:pPr>
                  <w:r/>
                  <w:r>
                    <w:rPr>
                      <w:rFonts w:ascii="仿宋_GB2312" w:hAnsi="仿宋_GB2312" w:eastAsia="仿宋_GB2312"/>
                      <w:b w:val="0"/>
                      <w:sz w:val="21"/>
                    </w:rPr>
                    <w:t>台</w:t>
                  </w:r>
                </w:p>
              </w:tc>
              <w:tc>
                <w:tcPr>
                  <w:tcW w:type="dxa" w:w="1247"/>
                </w:tcPr>
                <w:p>
                  <w:pPr>
                    <w:jc w:val="left"/>
                  </w:pPr>
                  <w:r/>
                  <w:r>
                    <w:rPr>
                      <w:rFonts w:ascii="仿宋_GB2312" w:hAnsi="仿宋_GB2312" w:eastAsia="仿宋_GB2312"/>
                      <w:b w:val="0"/>
                      <w:sz w:val="21"/>
                    </w:rPr>
                    <w:t>展厅现场部署</w:t>
                  </w:r>
                </w:p>
              </w:tc>
            </w:tr>
            <w:tr>
              <w:tc>
                <w:tcPr>
                  <w:tcW w:type="dxa" w:w="680"/>
                </w:tcPr>
                <w:p>
                  <w:pPr>
                    <w:jc w:val="center"/>
                  </w:pPr>
                  <w:r/>
                  <w:r>
                    <w:rPr>
                      <w:rFonts w:ascii="仿宋_GB2312" w:hAnsi="仿宋_GB2312" w:eastAsia="仿宋_GB2312"/>
                      <w:b w:val="0"/>
                      <w:sz w:val="21"/>
                    </w:rPr>
                    <w:t>4</w:t>
                  </w:r>
                </w:p>
              </w:tc>
              <w:tc>
                <w:tcPr>
                  <w:tcW w:type="dxa" w:w="1814"/>
                </w:tcPr>
                <w:p>
                  <w:pPr>
                    <w:jc w:val="left"/>
                  </w:pPr>
                  <w:r/>
                  <w:r>
                    <w:rPr>
                      <w:rFonts w:ascii="仿宋_GB2312" w:hAnsi="仿宋_GB2312" w:eastAsia="仿宋_GB2312"/>
                      <w:b w:val="0"/>
                      <w:sz w:val="21"/>
                    </w:rPr>
                    <w:t>支架与展台</w:t>
                  </w:r>
                </w:p>
              </w:tc>
              <w:tc>
                <w:tcPr>
                  <w:tcW w:type="dxa" w:w="3175"/>
                </w:tcPr>
                <w:p>
                  <w:pPr>
                    <w:jc w:val="left"/>
                  </w:pPr>
                  <w:r/>
                  <w:r>
                    <w:rPr>
                      <w:rFonts w:ascii="仿宋_GB2312" w:hAnsi="仿宋_GB2312" w:eastAsia="仿宋_GB2312"/>
                      <w:b w:val="0"/>
                      <w:sz w:val="21"/>
                    </w:rPr>
                    <w:t>固定视觉终端与屏幕，形成可站立操作的展台</w:t>
                  </w:r>
                </w:p>
              </w:tc>
              <w:tc>
                <w:tcPr>
                  <w:tcW w:type="dxa" w:w="794"/>
                </w:tcPr>
                <w:p>
                  <w:pPr>
                    <w:jc w:val="center"/>
                  </w:pPr>
                  <w:r/>
                  <w:r>
                    <w:rPr>
                      <w:rFonts w:ascii="仿宋_GB2312" w:hAnsi="仿宋_GB2312" w:eastAsia="仿宋_GB2312"/>
                      <w:b w:val="0"/>
                      <w:sz w:val="21"/>
                    </w:rPr>
                    <w:t>1</w:t>
                  </w:r>
                </w:p>
              </w:tc>
              <w:tc>
                <w:tcPr>
                  <w:tcW w:type="dxa" w:w="794"/>
                </w:tcPr>
                <w:p>
                  <w:pPr>
                    <w:jc w:val="center"/>
                  </w:pPr>
                  <w:r/>
                  <w:r>
                    <w:rPr>
                      <w:rFonts w:ascii="仿宋_GB2312" w:hAnsi="仿宋_GB2312" w:eastAsia="仿宋_GB2312"/>
                      <w:b w:val="0"/>
                      <w:sz w:val="21"/>
                    </w:rPr>
                    <w:t>套</w:t>
                  </w:r>
                </w:p>
              </w:tc>
              <w:tc>
                <w:tcPr>
                  <w:tcW w:type="dxa" w:w="1247"/>
                </w:tcPr>
                <w:p>
                  <w:pPr>
                    <w:jc w:val="left"/>
                  </w:pPr>
                  <w:r/>
                  <w:r>
                    <w:rPr>
                      <w:rFonts w:ascii="仿宋_GB2312" w:hAnsi="仿宋_GB2312" w:eastAsia="仿宋_GB2312"/>
                      <w:b w:val="0"/>
                      <w:sz w:val="21"/>
                    </w:rPr>
                    <w:t>自制</w:t>
                  </w:r>
                </w:p>
              </w:tc>
            </w:tr>
            <w:tr>
              <w:tc>
                <w:tcPr>
                  <w:tcW w:type="dxa" w:w="680"/>
                </w:tcPr>
                <w:p>
                  <w:pPr>
                    <w:jc w:val="center"/>
                  </w:pPr>
                  <w:r/>
                  <w:r>
                    <w:rPr>
                      <w:rFonts w:ascii="仿宋_GB2312" w:hAnsi="仿宋_GB2312" w:eastAsia="仿宋_GB2312"/>
                      <w:b w:val="0"/>
                      <w:sz w:val="21"/>
                    </w:rPr>
                    <w:t>5</w:t>
                  </w:r>
                </w:p>
              </w:tc>
              <w:tc>
                <w:tcPr>
                  <w:tcW w:type="dxa" w:w="1814"/>
                </w:tcPr>
                <w:p>
                  <w:pPr>
                    <w:jc w:val="left"/>
                  </w:pPr>
                  <w:r/>
                  <w:r>
                    <w:rPr>
                      <w:rFonts w:ascii="仿宋_GB2312" w:hAnsi="仿宋_GB2312" w:eastAsia="仿宋_GB2312"/>
                      <w:b w:val="0"/>
                      <w:sz w:val="21"/>
                    </w:rPr>
                    <w:t>非遗认物卡</w:t>
                  </w:r>
                </w:p>
              </w:tc>
              <w:tc>
                <w:tcPr>
                  <w:tcW w:type="dxa" w:w="3175"/>
                </w:tcPr>
                <w:p>
                  <w:pPr>
                    <w:jc w:val="left"/>
                  </w:pPr>
                  <w:r/>
                  <w:r>
                    <w:rPr>
                      <w:rFonts w:ascii="仿宋_GB2312" w:hAnsi="仿宋_GB2312" w:eastAsia="仿宋_GB2312"/>
                      <w:b w:val="0"/>
                      <w:sz w:val="21"/>
                    </w:rPr>
                    <w:t>印有香云纱、莞草编织、千角灯实拍图，供识别演示</w:t>
                  </w:r>
                </w:p>
              </w:tc>
              <w:tc>
                <w:tcPr>
                  <w:tcW w:type="dxa" w:w="794"/>
                </w:tcPr>
                <w:p>
                  <w:pPr>
                    <w:jc w:val="center"/>
                  </w:pPr>
                  <w:r/>
                  <w:r>
                    <w:rPr>
                      <w:rFonts w:ascii="仿宋_GB2312" w:hAnsi="仿宋_GB2312" w:eastAsia="仿宋_GB2312"/>
                      <w:b w:val="0"/>
                      <w:sz w:val="21"/>
                    </w:rPr>
                    <w:t>3</w:t>
                  </w:r>
                </w:p>
              </w:tc>
              <w:tc>
                <w:tcPr>
                  <w:tcW w:type="dxa" w:w="794"/>
                </w:tcPr>
                <w:p>
                  <w:pPr>
                    <w:jc w:val="center"/>
                  </w:pPr>
                  <w:r/>
                  <w:r>
                    <w:rPr>
                      <w:rFonts w:ascii="仿宋_GB2312" w:hAnsi="仿宋_GB2312" w:eastAsia="仿宋_GB2312"/>
                      <w:b w:val="0"/>
                      <w:sz w:val="21"/>
                    </w:rPr>
                    <w:t>张</w:t>
                  </w:r>
                </w:p>
              </w:tc>
              <w:tc>
                <w:tcPr>
                  <w:tcW w:type="dxa" w:w="1247"/>
                </w:tcPr>
                <w:p>
                  <w:pPr>
                    <w:jc w:val="left"/>
                  </w:pPr>
                  <w:r/>
                  <w:r>
                    <w:rPr>
                      <w:rFonts w:ascii="仿宋_GB2312" w:hAnsi="仿宋_GB2312" w:eastAsia="仿宋_GB2312"/>
                      <w:b w:val="0"/>
                      <w:sz w:val="21"/>
                    </w:rPr>
                    <w:t>现场可打印</w:t>
                  </w:r>
                </w:p>
              </w:tc>
            </w:tr>
            <w:tr>
              <w:tc>
                <w:tcPr>
                  <w:tcW w:type="dxa" w:w="680"/>
                </w:tcPr>
                <w:p>
                  <w:pPr>
                    <w:jc w:val="center"/>
                  </w:pPr>
                  <w:r/>
                  <w:r>
                    <w:rPr>
                      <w:rFonts w:ascii="仿宋_GB2312" w:hAnsi="仿宋_GB2312" w:eastAsia="仿宋_GB2312"/>
                      <w:b w:val="0"/>
                      <w:sz w:val="21"/>
                    </w:rPr>
                    <w:t>6</w:t>
                  </w:r>
                </w:p>
              </w:tc>
              <w:tc>
                <w:tcPr>
                  <w:tcW w:type="dxa" w:w="1814"/>
                </w:tcPr>
                <w:p>
                  <w:pPr>
                    <w:jc w:val="left"/>
                  </w:pPr>
                  <w:r/>
                  <w:r>
                    <w:rPr>
                      <w:rFonts w:ascii="仿宋_GB2312" w:hAnsi="仿宋_GB2312" w:eastAsia="仿宋_GB2312"/>
                      <w:b w:val="0"/>
                      <w:sz w:val="21"/>
                    </w:rPr>
                    <w:t>人脸样张</w:t>
                  </w:r>
                </w:p>
              </w:tc>
              <w:tc>
                <w:tcPr>
                  <w:tcW w:type="dxa" w:w="3175"/>
                </w:tcPr>
                <w:p>
                  <w:pPr>
                    <w:jc w:val="left"/>
                  </w:pPr>
                  <w:r/>
                  <w:r>
                    <w:rPr>
                      <w:rFonts w:ascii="仿宋_GB2312" w:hAnsi="仿宋_GB2312" w:eastAsia="仿宋_GB2312"/>
                      <w:b w:val="0"/>
                      <w:sz w:val="21"/>
                    </w:rPr>
                    <w:t>印有预约访客照片，供人脸识别演示</w:t>
                  </w:r>
                </w:p>
              </w:tc>
              <w:tc>
                <w:tcPr>
                  <w:tcW w:type="dxa" w:w="794"/>
                </w:tcPr>
                <w:p>
                  <w:pPr>
                    <w:jc w:val="center"/>
                  </w:pPr>
                  <w:r/>
                  <w:r>
                    <w:rPr>
                      <w:rFonts w:ascii="仿宋_GB2312" w:hAnsi="仿宋_GB2312" w:eastAsia="仿宋_GB2312"/>
                      <w:b w:val="0"/>
                      <w:sz w:val="21"/>
                    </w:rPr>
                    <w:t>1</w:t>
                  </w:r>
                </w:p>
              </w:tc>
              <w:tc>
                <w:tcPr>
                  <w:tcW w:type="dxa" w:w="794"/>
                </w:tcPr>
                <w:p>
                  <w:pPr>
                    <w:jc w:val="center"/>
                  </w:pPr>
                  <w:r/>
                  <w:r>
                    <w:rPr>
                      <w:rFonts w:ascii="仿宋_GB2312" w:hAnsi="仿宋_GB2312" w:eastAsia="仿宋_GB2312"/>
                      <w:b w:val="0"/>
                      <w:sz w:val="21"/>
                    </w:rPr>
                    <w:t>张</w:t>
                  </w:r>
                </w:p>
              </w:tc>
              <w:tc>
                <w:tcPr>
                  <w:tcW w:type="dxa" w:w="1247"/>
                </w:tcPr>
                <w:p>
                  <w:pPr>
                    <w:jc w:val="left"/>
                  </w:pPr>
                  <w:r/>
                  <w:r>
                    <w:rPr>
                      <w:rFonts w:ascii="仿宋_GB2312" w:hAnsi="仿宋_GB2312" w:eastAsia="仿宋_GB2312"/>
                      <w:b w:val="0"/>
                      <w:sz w:val="21"/>
                    </w:rPr>
                    <w:t>现场可打印</w:t>
                  </w:r>
                </w:p>
              </w:tc>
            </w:tr>
            <w:tr>
              <w:tc>
                <w:tcPr>
                  <w:tcW w:type="dxa" w:w="680"/>
                </w:tcPr>
                <w:p>
                  <w:pPr>
                    <w:jc w:val="center"/>
                  </w:pPr>
                  <w:r/>
                  <w:r>
                    <w:rPr>
                      <w:rFonts w:ascii="仿宋_GB2312" w:hAnsi="仿宋_GB2312" w:eastAsia="仿宋_GB2312"/>
                      <w:b w:val="0"/>
                      <w:sz w:val="21"/>
                    </w:rPr>
                    <w:t>7</w:t>
                  </w:r>
                </w:p>
              </w:tc>
              <w:tc>
                <w:tcPr>
                  <w:tcW w:type="dxa" w:w="1814"/>
                </w:tcPr>
                <w:p>
                  <w:pPr>
                    <w:jc w:val="left"/>
                  </w:pPr>
                  <w:r/>
                  <w:r>
                    <w:rPr>
                      <w:rFonts w:ascii="仿宋_GB2312" w:hAnsi="仿宋_GB2312" w:eastAsia="仿宋_GB2312"/>
                      <w:b w:val="0"/>
                      <w:sz w:val="21"/>
                    </w:rPr>
                    <w:t>积分兑换立牌</w:t>
                  </w:r>
                </w:p>
              </w:tc>
              <w:tc>
                <w:tcPr>
                  <w:tcW w:type="dxa" w:w="3175"/>
                </w:tcPr>
                <w:p>
                  <w:pPr>
                    <w:jc w:val="left"/>
                  </w:pPr>
                  <w:r/>
                  <w:r>
                    <w:rPr>
                      <w:rFonts w:ascii="仿宋_GB2312" w:hAnsi="仿宋_GB2312" w:eastAsia="仿宋_GB2312"/>
                      <w:b w:val="0"/>
                      <w:sz w:val="21"/>
                    </w:rPr>
                    <w:t>展示积分规则与奖品档位，配合兑换环节</w:t>
                  </w:r>
                </w:p>
              </w:tc>
              <w:tc>
                <w:tcPr>
                  <w:tcW w:type="dxa" w:w="794"/>
                </w:tcPr>
                <w:p>
                  <w:pPr>
                    <w:jc w:val="center"/>
                  </w:pPr>
                  <w:r/>
                  <w:r>
                    <w:rPr>
                      <w:rFonts w:ascii="仿宋_GB2312" w:hAnsi="仿宋_GB2312" w:eastAsia="仿宋_GB2312"/>
                      <w:b w:val="0"/>
                      <w:sz w:val="21"/>
                    </w:rPr>
                    <w:t>1</w:t>
                  </w:r>
                </w:p>
              </w:tc>
              <w:tc>
                <w:tcPr>
                  <w:tcW w:type="dxa" w:w="794"/>
                </w:tcPr>
                <w:p>
                  <w:pPr>
                    <w:jc w:val="center"/>
                  </w:pPr>
                  <w:r/>
                  <w:r>
                    <w:rPr>
                      <w:rFonts w:ascii="仿宋_GB2312" w:hAnsi="仿宋_GB2312" w:eastAsia="仿宋_GB2312"/>
                      <w:b w:val="0"/>
                      <w:sz w:val="21"/>
                    </w:rPr>
                    <w:t>块</w:t>
                  </w:r>
                </w:p>
              </w:tc>
              <w:tc>
                <w:tcPr>
                  <w:tcW w:type="dxa" w:w="1247"/>
                </w:tcPr>
                <w:p>
                  <w:pPr>
                    <w:jc w:val="left"/>
                  </w:pPr>
                  <w:r/>
                  <w:r>
                    <w:rPr>
                      <w:rFonts w:ascii="仿宋_GB2312" w:hAnsi="仿宋_GB2312" w:eastAsia="仿宋_GB2312"/>
                      <w:b w:val="0"/>
                      <w:sz w:val="21"/>
                    </w:rPr>
                    <w:t>现场可打印</w:t>
                  </w:r>
                </w:p>
              </w:tc>
            </w:tr>
          </w:tbl>
          <w:p/>
        </w:tc>
      </w:tr>
      <w:tr w14:paraId="0211A935">
        <w:trPr>
          <w:trHeight w:val="1848" w:hRule="atLeast"/>
        </w:trPr>
        <w:tc>
          <w:tcPr>
            <w:tcW w:w="8522" w:type="dxa"/>
            <w:gridSpan w:val="2"/>
          </w:tcPr>
          <w:p>
            <w:r/>
            <w:r>
              <w:rPr>
                <w:rFonts w:ascii="黑体" w:hAnsi="黑体" w:eastAsia="黑体"/>
                <w:b/>
                <w:sz w:val="21"/>
              </w:rPr>
              <w:t>九．备注</w:t>
            </w:r>
          </w:p>
          <w:p>
            <w:r>
              <w:rPr>
                <w:rFonts w:ascii="仿宋_GB2312" w:hAnsi="仿宋_GB2312" w:eastAsia="仿宋_GB2312"/>
                <w:b w:val="0"/>
                <w:sz w:val="22"/>
              </w:rPr>
              <w:t>本查新报告检索范围限于国家知识产权局公开专利库、中国知网（CNKI）、万方数据库及维普网收录的公开文献。检索时限为2015年1月至2026年10月。检索结论仅对本次检索委托所列之查新点负责。</w:t>
            </w:r>
          </w:p>
        </w:tc>
      </w:tr>
    </w:tbl>
    <w:p w14:paraId="447F03E2">
      <w:pPr>
        <w:widowControl/>
        <w:spacing w:line="200" w:lineRule="exact"/>
        <w:jc w:val="left"/>
        <w:rPr>
          <w:rFonts w:hint="eastAsia" w:ascii="Liberation Serif" w:hAnsi="Liberation Serif" w:eastAsia="宋体" w:cs="Noto Sans Devanagari"/>
          <w:color w:val="00000A"/>
          <w:kern w:val="0"/>
          <w:sz w:val="20"/>
          <w:szCs w:val="20"/>
          <w:lang w:bidi="hi-IN"/>
        </w:rPr>
      </w:pPr>
    </w:p>
    <w:sectPr>
      <w:headerReference r:id="rId3" w:type="default"/>
      <w:footerReference r:id="rId4" w:type="default"/>
      <w:pgSz w:w="11906" w:h="16838"/>
      <w:pgMar w:top="1361" w:right="1202" w:bottom="1361" w:left="1202"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Thonburi"/>
    <w:panose1 w:val="00000000000000000000"/>
    <w:charset w:val="01"/>
    <w:family w:val="roman"/>
    <w:pitch w:val="default"/>
    <w:sig w:usb0="00000000" w:usb1="00000000" w:usb2="00000000" w:usb3="00000000" w:csb0="00000000" w:csb1="00000000"/>
  </w:font>
  <w:font w:name="Noto Sans Devanagari">
    <w:altName w:val="苹方-简"/>
    <w:panose1 w:val="00000000000000000000"/>
    <w:charset w:val="00"/>
    <w:family w:val="swiss"/>
    <w:pitch w:val="default"/>
    <w:sig w:usb0="00000000" w:usb1="00000000" w:usb2="00000000" w:usb3="00000000" w:csb0="00000001" w:csb1="00000000"/>
  </w:font>
  <w:font w:name="Segoe Print">
    <w:altName w:val="苹方-简"/>
    <w:panose1 w:val="02000600000000000000"/>
    <w:charset w:val="00"/>
    <w:family w:val="auto"/>
    <w:pitch w:val="default"/>
    <w:sig w:usb0="00000000" w:usb1="00000000" w:usb2="00000000" w:usb3="00000000" w:csb0="2000009F" w:csb1="47010000"/>
  </w:font>
  <w:font w:name="Courier New">
    <w:panose1 w:val="02070409020205090404"/>
    <w:charset w:val="00"/>
    <w:family w:val="modern"/>
    <w:pitch w:val="default"/>
    <w:sig w:usb0="E0000AFF" w:usb1="40007843" w:usb2="00000001" w:usb3="00000000" w:csb0="400001BF" w:csb1="DFF70000"/>
  </w:font>
  <w:font w:name="TCXiaoBiaoSong-B05S">
    <w:altName w:val="苹方-简"/>
    <w:panose1 w:val="00000000000000000000"/>
    <w:charset w:val="86"/>
    <w:family w:val="swiss"/>
    <w:pitch w:val="default"/>
    <w:sig w:usb0="00000000" w:usb1="00000000" w:usb2="00000010" w:usb3="00000000" w:csb0="00040000" w:csb1="00000000"/>
  </w:font>
  <w:font w:name="Liberation Sans">
    <w:altName w:val="Thonburi"/>
    <w:panose1 w:val="00000000000000000000"/>
    <w:charset w:val="01"/>
    <w:family w:val="swiss"/>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Noto Sans CJK JP Regular">
    <w:altName w:val="苹方-简"/>
    <w:panose1 w:val="00000000000000000000"/>
    <w:charset w:val="00"/>
    <w:family w:val="auto"/>
    <w:pitch w:val="default"/>
    <w:sig w:usb0="00000000" w:usb1="00000000" w:usb2="00000000" w:usb3="00000000" w:csb0="00000000" w:csb1="00000000"/>
  </w:font>
  <w:font w:name="Mangal">
    <w:altName w:val="Arial Unicode MS"/>
    <w:panose1 w:val="00000400000000000000"/>
    <w:charset w:val="00"/>
    <w:family w:val="roman"/>
    <w:pitch w:val="default"/>
    <w:sig w:usb0="00000000" w:usb1="00000000" w:usb2="00000000" w:usb3="00000000" w:csb0="00000001" w:csb1="00000000"/>
  </w:font>
  <w:font w:name="仿宋_GB2312">
    <w:panose1 w:val="02010609030101010101"/>
    <w:charset w:val="86"/>
    <w:family w:val="auto"/>
    <w:pitch w:val="default"/>
    <w:sig w:usb0="00000001" w:usb1="080E0000" w:usb2="00000000" w:usb3="00000000" w:csb0="00040000" w:csb1="00000000"/>
  </w:font>
  <w:font w:name="方正小标宋简体">
    <w:panose1 w:val="02000000000000000000"/>
    <w:charset w:val="86"/>
    <w:family w:val="script"/>
    <w:pitch w:val="default"/>
    <w:sig w:usb0="00000001" w:usb1="08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微软雅黑">
    <w:altName w:val="方正雅意黑 GB18030L2"/>
    <w:panose1 w:val="020B0503020204020204"/>
    <w:charset w:val="86"/>
    <w:family w:val="swiss"/>
    <w:pitch w:val="default"/>
    <w:sig w:usb0="00000000" w:usb1="00000000" w:usb2="00000016" w:usb3="00000000" w:csb0="0004001F" w:csb1="00000000"/>
  </w:font>
  <w:font w:name="undefined">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方正雅意黑 GB18030L2">
    <w:panose1 w:val="02000500000000000000"/>
    <w:charset w:val="86"/>
    <w:family w:val="auto"/>
    <w:pitch w:val="default"/>
    <w:sig w:usb0="E00002FF" w:usb1="38CFFCFB" w:usb2="00000016" w:usb3="00000000" w:csb0="6004019F" w:csb1="DFD7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Thonburi">
    <w:panose1 w:val="00000400000000000000"/>
    <w:charset w:val="00"/>
    <w:family w:val="auto"/>
    <w:pitch w:val="default"/>
    <w:sig w:usb0="01000000" w:usb1="00000000" w:usb2="00000000" w:usb3="00000000" w:csb0="20000193" w:csb1="4D000000"/>
  </w:font>
  <w:font w:name="Arial Unicode MS">
    <w:panose1 w:val="020B0604020202020204"/>
    <w:charset w:val="86"/>
    <w:family w:val="auto"/>
    <w:pitch w:val="default"/>
    <w:sig w:usb0="FFFFFFFF" w:usb1="E9FFFFFF" w:usb2="0000003F" w:usb3="00000000" w:csb0="603F01FF" w:csb1="FFFF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5580897"/>
    </w:sdtPr>
    <w:sdtContent>
      <w:sdt>
        <w:sdtPr>
          <w:id w:val="1728636285"/>
        </w:sdtPr>
        <w:sdtContent>
          <w:p w14:paraId="09AC4612">
            <w:pPr>
              <w:pStyle w:val="8"/>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4618B047">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537BB">
    <w:pPr>
      <w:pStyle w:val="9"/>
      <w:pBdr>
        <w:bottom w:val="none" w:color="auto" w:sz="0" w:space="0"/>
      </w:pBdr>
      <w:jc w:val="both"/>
    </w:pPr>
    <w:r>
      <w:rPr>
        <w:rFonts w:hint="eastAsia"/>
        <w:u w:val="single"/>
      </w:rPr>
      <w:t>202</w:t>
    </w:r>
    <w:r>
      <w:rPr>
        <w:rFonts w:hint="eastAsia"/>
        <w:u w:val="single"/>
        <w:lang w:val="en-US" w:eastAsia="zh-CN"/>
      </w:rPr>
      <w:t>6</w:t>
    </w:r>
    <w:r>
      <w:rPr>
        <w:rFonts w:hint="eastAsia"/>
        <w:u w:val="single"/>
      </w:rPr>
      <w:t xml:space="preserve">年东莞市青少年科技创新大赛资料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F3939E"/>
    <w:multiLevelType w:val="singleLevel"/>
    <w:tmpl w:val="99F3939E"/>
    <w:lvl w:ilvl="0" w:tentative="0">
      <w:start w:val="1"/>
      <w:numFmt w:val="decimal"/>
      <w:lvlText w:val="%1."/>
      <w:lvlJc w:val="left"/>
      <w:pPr>
        <w:tabs>
          <w:tab w:val="left" w:pos="312"/>
        </w:tabs>
      </w:pPr>
    </w:lvl>
  </w:abstractNum>
  <w:abstractNum w:abstractNumId="1">
    <w:nsid w:val="D7FFEAE6"/>
    <w:multiLevelType w:val="singleLevel"/>
    <w:tmpl w:val="D7FFEAE6"/>
    <w:lvl w:ilvl="0" w:tentative="0">
      <w:start w:val="1"/>
      <w:numFmt w:val="decimal"/>
      <w:lvlText w:val="%1."/>
      <w:lvlJc w:val="left"/>
      <w:pPr>
        <w:tabs>
          <w:tab w:val="left" w:pos="312"/>
        </w:tabs>
      </w:pPr>
    </w:lvl>
  </w:abstractNum>
  <w:abstractNum w:abstractNumId="2">
    <w:nsid w:val="F52AC76D"/>
    <w:multiLevelType w:val="singleLevel"/>
    <w:tmpl w:val="F52AC76D"/>
    <w:lvl w:ilvl="0" w:tentative="0">
      <w:start w:val="1"/>
      <w:numFmt w:val="decimal"/>
      <w:suff w:val="space"/>
      <w:lvlText w:val="%1."/>
      <w:lvlJc w:val="left"/>
    </w:lvl>
  </w:abstractNum>
  <w:abstractNum w:abstractNumId="3">
    <w:nsid w:val="FDE913AA"/>
    <w:multiLevelType w:val="singleLevel"/>
    <w:tmpl w:val="FDE913AA"/>
    <w:lvl w:ilvl="0" w:tentative="0">
      <w:start w:val="1"/>
      <w:numFmt w:val="decimal"/>
      <w:suff w:val="space"/>
      <w:lvlText w:val="%1."/>
      <w:lvlJc w:val="left"/>
    </w:lvl>
  </w:abstractNum>
  <w:abstractNum w:abstractNumId="4">
    <w:nsid w:val="07DD5691"/>
    <w:multiLevelType w:val="singleLevel"/>
    <w:tmpl w:val="07DD5691"/>
    <w:lvl w:ilvl="0" w:tentative="0">
      <w:start w:val="8"/>
      <w:numFmt w:val="chineseCounting"/>
      <w:suff w:val="nothing"/>
      <w:lvlText w:val="%1．"/>
      <w:lvlJc w:val="left"/>
      <w:rPr>
        <w:rFonts w:hint="eastAsia"/>
      </w:rPr>
    </w:lvl>
  </w:abstractNum>
  <w:abstractNum w:abstractNumId="5">
    <w:nsid w:val="2DF5424C"/>
    <w:multiLevelType w:val="multilevel"/>
    <w:tmpl w:val="2DF5424C"/>
    <w:lvl w:ilvl="0" w:tentative="0">
      <w:start w:val="1"/>
      <w:numFmt w:val="japaneseCounting"/>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3B2C3488"/>
    <w:multiLevelType w:val="multilevel"/>
    <w:tmpl w:val="3B2C3488"/>
    <w:lvl w:ilvl="0" w:tentative="0">
      <w:start w:val="1"/>
      <w:numFmt w:val="decimal"/>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5D0F13AE"/>
    <w:multiLevelType w:val="singleLevel"/>
    <w:tmpl w:val="5D0F13AE"/>
    <w:lvl w:ilvl="0" w:tentative="0">
      <w:start w:val="1"/>
      <w:numFmt w:val="decimal"/>
      <w:suff w:val="space"/>
      <w:lvlText w:val="%1."/>
      <w:lvlJc w:val="left"/>
    </w:lvl>
  </w:abstractNum>
  <w:abstractNum w:abstractNumId="8">
    <w:nsid w:val="5EFE4650"/>
    <w:multiLevelType w:val="singleLevel"/>
    <w:tmpl w:val="5EFE4650"/>
    <w:lvl w:ilvl="0" w:tentative="0">
      <w:start w:val="1"/>
      <w:numFmt w:val="decimal"/>
      <w:suff w:val="nothing"/>
      <w:lvlText w:val="（%1）"/>
      <w:lvlJc w:val="left"/>
    </w:lvl>
  </w:abstractNum>
  <w:num w:numId="1">
    <w:abstractNumId w:val="5"/>
  </w:num>
  <w:num w:numId="2">
    <w:abstractNumId w:val="2"/>
  </w:num>
  <w:num w:numId="3">
    <w:abstractNumId w:val="7"/>
  </w:num>
  <w:num w:numId="4">
    <w:abstractNumId w:val="1"/>
  </w:num>
  <w:num w:numId="5">
    <w:abstractNumId w:val="0"/>
  </w:num>
  <w:num w:numId="6">
    <w:abstractNumId w:val="3"/>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FmNDcwYjQ4OGYyMGY5YTZhZGE3NWZkNjkwY2M0ZGMifQ=="/>
  </w:docVars>
  <w:rsids>
    <w:rsidRoot w:val="00347EA7"/>
    <w:rsid w:val="000E2CC0"/>
    <w:rsid w:val="00115E34"/>
    <w:rsid w:val="001223A0"/>
    <w:rsid w:val="0014011D"/>
    <w:rsid w:val="00157514"/>
    <w:rsid w:val="00170B66"/>
    <w:rsid w:val="0017627D"/>
    <w:rsid w:val="001B2D73"/>
    <w:rsid w:val="00336762"/>
    <w:rsid w:val="00347EA7"/>
    <w:rsid w:val="003D29F6"/>
    <w:rsid w:val="00545716"/>
    <w:rsid w:val="00554736"/>
    <w:rsid w:val="00621FE5"/>
    <w:rsid w:val="00627140"/>
    <w:rsid w:val="006A23C6"/>
    <w:rsid w:val="007020BB"/>
    <w:rsid w:val="008F6DC2"/>
    <w:rsid w:val="00933094"/>
    <w:rsid w:val="00A36D69"/>
    <w:rsid w:val="00A840A3"/>
    <w:rsid w:val="00A85546"/>
    <w:rsid w:val="00C25598"/>
    <w:rsid w:val="00C53B55"/>
    <w:rsid w:val="00C56910"/>
    <w:rsid w:val="00D11290"/>
    <w:rsid w:val="00E13496"/>
    <w:rsid w:val="00E20B98"/>
    <w:rsid w:val="00E4679F"/>
    <w:rsid w:val="00EC5192"/>
    <w:rsid w:val="00F35CD0"/>
    <w:rsid w:val="00FA6D16"/>
    <w:rsid w:val="00FC78C3"/>
    <w:rsid w:val="081D0805"/>
    <w:rsid w:val="08847D7A"/>
    <w:rsid w:val="0DDA4C85"/>
    <w:rsid w:val="0E100AAF"/>
    <w:rsid w:val="0E157D5B"/>
    <w:rsid w:val="0F050999"/>
    <w:rsid w:val="0F0D089F"/>
    <w:rsid w:val="10A93BDF"/>
    <w:rsid w:val="10D656A9"/>
    <w:rsid w:val="13F742EA"/>
    <w:rsid w:val="149206A4"/>
    <w:rsid w:val="14DA62B3"/>
    <w:rsid w:val="1568444B"/>
    <w:rsid w:val="15A84119"/>
    <w:rsid w:val="15DD7BBE"/>
    <w:rsid w:val="16727E90"/>
    <w:rsid w:val="16F65359"/>
    <w:rsid w:val="174E19C5"/>
    <w:rsid w:val="19FE08F5"/>
    <w:rsid w:val="1CB672D5"/>
    <w:rsid w:val="1DF712C0"/>
    <w:rsid w:val="1E2C7FAA"/>
    <w:rsid w:val="1E321CFA"/>
    <w:rsid w:val="1F1B13EB"/>
    <w:rsid w:val="1F3A5728"/>
    <w:rsid w:val="1FAE5789"/>
    <w:rsid w:val="1FBF7C33"/>
    <w:rsid w:val="21520F27"/>
    <w:rsid w:val="21EF3826"/>
    <w:rsid w:val="221402B8"/>
    <w:rsid w:val="23012099"/>
    <w:rsid w:val="25082450"/>
    <w:rsid w:val="26083A13"/>
    <w:rsid w:val="26FE1C88"/>
    <w:rsid w:val="273C2DB7"/>
    <w:rsid w:val="275D47C1"/>
    <w:rsid w:val="27C8493E"/>
    <w:rsid w:val="27F3AB63"/>
    <w:rsid w:val="27F84FAC"/>
    <w:rsid w:val="281B4C48"/>
    <w:rsid w:val="287302EE"/>
    <w:rsid w:val="28D754E8"/>
    <w:rsid w:val="29397224"/>
    <w:rsid w:val="29535D4A"/>
    <w:rsid w:val="2A3348CB"/>
    <w:rsid w:val="2B3C156B"/>
    <w:rsid w:val="2B767A0A"/>
    <w:rsid w:val="2BA02A39"/>
    <w:rsid w:val="2C7533C0"/>
    <w:rsid w:val="2D136C50"/>
    <w:rsid w:val="2D171A4F"/>
    <w:rsid w:val="2D2E678E"/>
    <w:rsid w:val="2DBB5846"/>
    <w:rsid w:val="2E8671B9"/>
    <w:rsid w:val="2EBF15EB"/>
    <w:rsid w:val="2F9ED62D"/>
    <w:rsid w:val="3061741B"/>
    <w:rsid w:val="31AA6D33"/>
    <w:rsid w:val="35DE09EF"/>
    <w:rsid w:val="35FE003B"/>
    <w:rsid w:val="3690487C"/>
    <w:rsid w:val="36AB18AE"/>
    <w:rsid w:val="376D8B92"/>
    <w:rsid w:val="37DF0C34"/>
    <w:rsid w:val="37EF9846"/>
    <w:rsid w:val="3A8221BC"/>
    <w:rsid w:val="3B6FCC08"/>
    <w:rsid w:val="3BFD12B9"/>
    <w:rsid w:val="3C7E61BA"/>
    <w:rsid w:val="3CD8E77E"/>
    <w:rsid w:val="3DA6350D"/>
    <w:rsid w:val="3DDB3E7B"/>
    <w:rsid w:val="3E9D9D83"/>
    <w:rsid w:val="3EF220C1"/>
    <w:rsid w:val="3EFFCBE1"/>
    <w:rsid w:val="3F5850CA"/>
    <w:rsid w:val="3F7F06C4"/>
    <w:rsid w:val="3F9B324F"/>
    <w:rsid w:val="3FB1E130"/>
    <w:rsid w:val="3FB7FD43"/>
    <w:rsid w:val="3FDC26A5"/>
    <w:rsid w:val="3FFEEB2E"/>
    <w:rsid w:val="3FFFB49F"/>
    <w:rsid w:val="3FFFFAE6"/>
    <w:rsid w:val="40DCD494"/>
    <w:rsid w:val="40F13F0B"/>
    <w:rsid w:val="424F14CB"/>
    <w:rsid w:val="42CC2365"/>
    <w:rsid w:val="43C73752"/>
    <w:rsid w:val="44246E38"/>
    <w:rsid w:val="4BDF3F6A"/>
    <w:rsid w:val="4C6F04EF"/>
    <w:rsid w:val="4E531220"/>
    <w:rsid w:val="4E7F008D"/>
    <w:rsid w:val="4F947832"/>
    <w:rsid w:val="4FDFB4C1"/>
    <w:rsid w:val="51027F3B"/>
    <w:rsid w:val="51514978"/>
    <w:rsid w:val="52F35093"/>
    <w:rsid w:val="54042480"/>
    <w:rsid w:val="55BD7873"/>
    <w:rsid w:val="574E0B52"/>
    <w:rsid w:val="577CB136"/>
    <w:rsid w:val="57CC271B"/>
    <w:rsid w:val="57DBF5EB"/>
    <w:rsid w:val="5836D790"/>
    <w:rsid w:val="58E64E62"/>
    <w:rsid w:val="59FFDAF6"/>
    <w:rsid w:val="5A6920A2"/>
    <w:rsid w:val="5AF78F16"/>
    <w:rsid w:val="5B442582"/>
    <w:rsid w:val="5BFE80BD"/>
    <w:rsid w:val="5C063C3E"/>
    <w:rsid w:val="5C4B6ACF"/>
    <w:rsid w:val="5C712830"/>
    <w:rsid w:val="5DCDC3AF"/>
    <w:rsid w:val="5DDD083E"/>
    <w:rsid w:val="5DDF8237"/>
    <w:rsid w:val="5DE56DFA"/>
    <w:rsid w:val="5DF674BC"/>
    <w:rsid w:val="5DFFBB8D"/>
    <w:rsid w:val="5EF54474"/>
    <w:rsid w:val="5F0804D8"/>
    <w:rsid w:val="5F7F5FF3"/>
    <w:rsid w:val="5F9F3CEE"/>
    <w:rsid w:val="5FB15284"/>
    <w:rsid w:val="5FDBADC8"/>
    <w:rsid w:val="5FE4C264"/>
    <w:rsid w:val="5FF3E988"/>
    <w:rsid w:val="5FF7AF3F"/>
    <w:rsid w:val="5FFBBF73"/>
    <w:rsid w:val="5FFBD5E3"/>
    <w:rsid w:val="5FFF932B"/>
    <w:rsid w:val="604638DA"/>
    <w:rsid w:val="607F3DEE"/>
    <w:rsid w:val="61CE6433"/>
    <w:rsid w:val="6202633D"/>
    <w:rsid w:val="62124E7B"/>
    <w:rsid w:val="632E7D03"/>
    <w:rsid w:val="63AE5900"/>
    <w:rsid w:val="63D85BDD"/>
    <w:rsid w:val="63F56058"/>
    <w:rsid w:val="643F91C6"/>
    <w:rsid w:val="65701D69"/>
    <w:rsid w:val="65F7A652"/>
    <w:rsid w:val="67CB0F35"/>
    <w:rsid w:val="67DB997F"/>
    <w:rsid w:val="67FD5E69"/>
    <w:rsid w:val="69EF49DD"/>
    <w:rsid w:val="6A88550F"/>
    <w:rsid w:val="6AAE65F0"/>
    <w:rsid w:val="6B1113B9"/>
    <w:rsid w:val="6B3B335A"/>
    <w:rsid w:val="6B8D7AE5"/>
    <w:rsid w:val="6BCFD5A1"/>
    <w:rsid w:val="6BFBA0F8"/>
    <w:rsid w:val="6BFD35AE"/>
    <w:rsid w:val="6EF71124"/>
    <w:rsid w:val="6F7C807F"/>
    <w:rsid w:val="6FF7FEAA"/>
    <w:rsid w:val="6FFF337F"/>
    <w:rsid w:val="72BBA839"/>
    <w:rsid w:val="72FE71FB"/>
    <w:rsid w:val="737FF75A"/>
    <w:rsid w:val="74DFF6E8"/>
    <w:rsid w:val="756B594D"/>
    <w:rsid w:val="767B1E21"/>
    <w:rsid w:val="76A58EF8"/>
    <w:rsid w:val="76AF09DF"/>
    <w:rsid w:val="76F17318"/>
    <w:rsid w:val="76F789F2"/>
    <w:rsid w:val="76FC9FA6"/>
    <w:rsid w:val="76FEBE19"/>
    <w:rsid w:val="776F3E8D"/>
    <w:rsid w:val="776FA78C"/>
    <w:rsid w:val="77BE333F"/>
    <w:rsid w:val="77F795C3"/>
    <w:rsid w:val="77F935C2"/>
    <w:rsid w:val="77FD1AC7"/>
    <w:rsid w:val="77FF37B4"/>
    <w:rsid w:val="77FF558B"/>
    <w:rsid w:val="77FF72D9"/>
    <w:rsid w:val="77FFFE43"/>
    <w:rsid w:val="79BFE212"/>
    <w:rsid w:val="79CE3B54"/>
    <w:rsid w:val="79FDCDA5"/>
    <w:rsid w:val="79FF0B24"/>
    <w:rsid w:val="79FF2E7C"/>
    <w:rsid w:val="7A7E85C0"/>
    <w:rsid w:val="7AEF82BD"/>
    <w:rsid w:val="7B7653A0"/>
    <w:rsid w:val="7B781495"/>
    <w:rsid w:val="7BFADB73"/>
    <w:rsid w:val="7CBAACF1"/>
    <w:rsid w:val="7CBF3506"/>
    <w:rsid w:val="7CFF3604"/>
    <w:rsid w:val="7D37F854"/>
    <w:rsid w:val="7D3E942A"/>
    <w:rsid w:val="7D3F061D"/>
    <w:rsid w:val="7DBF640A"/>
    <w:rsid w:val="7DBFD171"/>
    <w:rsid w:val="7DCFFED5"/>
    <w:rsid w:val="7DD75243"/>
    <w:rsid w:val="7DEDB90A"/>
    <w:rsid w:val="7DFBCB16"/>
    <w:rsid w:val="7DFE8EA7"/>
    <w:rsid w:val="7EA744E9"/>
    <w:rsid w:val="7EBF8C9E"/>
    <w:rsid w:val="7EDC3F73"/>
    <w:rsid w:val="7EDF4AA8"/>
    <w:rsid w:val="7EE685A2"/>
    <w:rsid w:val="7EEEFA56"/>
    <w:rsid w:val="7EFCC30B"/>
    <w:rsid w:val="7EFF327F"/>
    <w:rsid w:val="7F3B31D8"/>
    <w:rsid w:val="7F3D3A19"/>
    <w:rsid w:val="7F5BD847"/>
    <w:rsid w:val="7F77FFA7"/>
    <w:rsid w:val="7F7D04C2"/>
    <w:rsid w:val="7F7F9426"/>
    <w:rsid w:val="7F8FF9F5"/>
    <w:rsid w:val="7FB07823"/>
    <w:rsid w:val="7FBF1625"/>
    <w:rsid w:val="7FDEF48B"/>
    <w:rsid w:val="7FDFB43A"/>
    <w:rsid w:val="7FE90D45"/>
    <w:rsid w:val="7FEDE16F"/>
    <w:rsid w:val="7FF15A06"/>
    <w:rsid w:val="7FFB255D"/>
    <w:rsid w:val="7FFDD201"/>
    <w:rsid w:val="7FFE9CC8"/>
    <w:rsid w:val="85BD6CCB"/>
    <w:rsid w:val="8A3A5145"/>
    <w:rsid w:val="8FF7AC7E"/>
    <w:rsid w:val="8FFF55A0"/>
    <w:rsid w:val="91FBD705"/>
    <w:rsid w:val="976F04B7"/>
    <w:rsid w:val="A6F3A76C"/>
    <w:rsid w:val="A7FF8559"/>
    <w:rsid w:val="ACC55BD3"/>
    <w:rsid w:val="B13FFB1A"/>
    <w:rsid w:val="B65F6081"/>
    <w:rsid w:val="B73B932E"/>
    <w:rsid w:val="B7BB380C"/>
    <w:rsid w:val="B7F48D12"/>
    <w:rsid w:val="BAB648B2"/>
    <w:rsid w:val="BAFF02FB"/>
    <w:rsid w:val="BB62F89B"/>
    <w:rsid w:val="BBBDAF02"/>
    <w:rsid w:val="BBCDC1E5"/>
    <w:rsid w:val="BBDF7640"/>
    <w:rsid w:val="BBF646EE"/>
    <w:rsid w:val="BBFB7CC2"/>
    <w:rsid w:val="BCEBA598"/>
    <w:rsid w:val="BCFC8930"/>
    <w:rsid w:val="BD7B822E"/>
    <w:rsid w:val="BE9B4216"/>
    <w:rsid w:val="BEDECC02"/>
    <w:rsid w:val="BF7FE599"/>
    <w:rsid w:val="BFAB179A"/>
    <w:rsid w:val="BFFF1AF8"/>
    <w:rsid w:val="C3772EFC"/>
    <w:rsid w:val="C4DC1069"/>
    <w:rsid w:val="C99FD05A"/>
    <w:rsid w:val="CB5B476F"/>
    <w:rsid w:val="CBC518E2"/>
    <w:rsid w:val="CF7D81EC"/>
    <w:rsid w:val="CFF31ABA"/>
    <w:rsid w:val="D3FF3AC2"/>
    <w:rsid w:val="D5F7B0EC"/>
    <w:rsid w:val="D7F7527E"/>
    <w:rsid w:val="DAEFEAC6"/>
    <w:rsid w:val="DBBF3256"/>
    <w:rsid w:val="DBEFF3F3"/>
    <w:rsid w:val="DE2D87AD"/>
    <w:rsid w:val="DE5FC5AF"/>
    <w:rsid w:val="DE6FD9DA"/>
    <w:rsid w:val="DEA6888B"/>
    <w:rsid w:val="DEBE322F"/>
    <w:rsid w:val="DF3F0D95"/>
    <w:rsid w:val="DF576827"/>
    <w:rsid w:val="DF57D4A6"/>
    <w:rsid w:val="DFBBADAB"/>
    <w:rsid w:val="DFBF4E59"/>
    <w:rsid w:val="DFC90B1C"/>
    <w:rsid w:val="DFCF431A"/>
    <w:rsid w:val="DFDCEA71"/>
    <w:rsid w:val="DFF272CB"/>
    <w:rsid w:val="DFF91E03"/>
    <w:rsid w:val="E55DE00A"/>
    <w:rsid w:val="E7FEFA6F"/>
    <w:rsid w:val="E835A157"/>
    <w:rsid w:val="E937C5B1"/>
    <w:rsid w:val="EBEDBD3F"/>
    <w:rsid w:val="EDF7B0F6"/>
    <w:rsid w:val="EED6450E"/>
    <w:rsid w:val="EEDE8C72"/>
    <w:rsid w:val="EEFEFD0F"/>
    <w:rsid w:val="EF5FFB71"/>
    <w:rsid w:val="EFD0C40B"/>
    <w:rsid w:val="EFF6D1FB"/>
    <w:rsid w:val="F2BE4B5D"/>
    <w:rsid w:val="F37DC73B"/>
    <w:rsid w:val="F4AFF911"/>
    <w:rsid w:val="F6F1B1C4"/>
    <w:rsid w:val="F6FD637D"/>
    <w:rsid w:val="F7ADE339"/>
    <w:rsid w:val="F8759585"/>
    <w:rsid w:val="F88DB3EC"/>
    <w:rsid w:val="F97B8E51"/>
    <w:rsid w:val="F9F96125"/>
    <w:rsid w:val="FA2F4AC9"/>
    <w:rsid w:val="FAF7BB9A"/>
    <w:rsid w:val="FAFD7DB4"/>
    <w:rsid w:val="FB675552"/>
    <w:rsid w:val="FB6F4812"/>
    <w:rsid w:val="FB7CDD86"/>
    <w:rsid w:val="FBBEB2A5"/>
    <w:rsid w:val="FBC55C0A"/>
    <w:rsid w:val="FBDB02A6"/>
    <w:rsid w:val="FBF6AECC"/>
    <w:rsid w:val="FBFF8B08"/>
    <w:rsid w:val="FCDF1293"/>
    <w:rsid w:val="FCF94924"/>
    <w:rsid w:val="FCFAD4DF"/>
    <w:rsid w:val="FD3E6430"/>
    <w:rsid w:val="FD5A36A2"/>
    <w:rsid w:val="FD7F0499"/>
    <w:rsid w:val="FD9EF075"/>
    <w:rsid w:val="FDBF53A2"/>
    <w:rsid w:val="FDBFAFF4"/>
    <w:rsid w:val="FDDC30A1"/>
    <w:rsid w:val="FDEFBB44"/>
    <w:rsid w:val="FDF30369"/>
    <w:rsid w:val="FDFB0A3A"/>
    <w:rsid w:val="FE7FFE7D"/>
    <w:rsid w:val="FF759907"/>
    <w:rsid w:val="FF75BCFE"/>
    <w:rsid w:val="FF7BFF67"/>
    <w:rsid w:val="FF7C0821"/>
    <w:rsid w:val="FFBFB185"/>
    <w:rsid w:val="FFBFC279"/>
    <w:rsid w:val="FFD3AD74"/>
    <w:rsid w:val="FFD6640D"/>
    <w:rsid w:val="FFD882F2"/>
    <w:rsid w:val="FFDD1298"/>
    <w:rsid w:val="FFE78FE1"/>
    <w:rsid w:val="FFEB723B"/>
    <w:rsid w:val="FFF57983"/>
    <w:rsid w:val="FFF697C4"/>
    <w:rsid w:val="FFF956C5"/>
    <w:rsid w:val="FFFBC020"/>
    <w:rsid w:val="FFFD2991"/>
    <w:rsid w:val="FFFF3D52"/>
    <w:rsid w:val="FFFF416A"/>
    <w:rsid w:val="FFFF48D9"/>
    <w:rsid w:val="FFFF50ED"/>
    <w:rsid w:val="FFFF6F69"/>
    <w:rsid w:val="FFFFC63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3"/>
    <w:basedOn w:val="1"/>
    <w:next w:val="1"/>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Normal Indent"/>
    <w:basedOn w:val="1"/>
    <w:autoRedefine/>
    <w:qFormat/>
    <w:uiPriority w:val="0"/>
    <w:pPr>
      <w:ind w:firstLine="420"/>
    </w:pPr>
    <w:rPr>
      <w:szCs w:val="20"/>
    </w:rPr>
  </w:style>
  <w:style w:type="paragraph" w:styleId="5">
    <w:name w:val="caption"/>
    <w:basedOn w:val="1"/>
    <w:next w:val="1"/>
    <w:autoRedefine/>
    <w:qFormat/>
    <w:uiPriority w:val="0"/>
    <w:pPr>
      <w:widowControl/>
      <w:suppressLineNumbers/>
      <w:spacing w:before="120" w:after="120"/>
      <w:jc w:val="left"/>
    </w:pPr>
    <w:rPr>
      <w:rFonts w:ascii="Liberation Serif" w:hAnsi="Liberation Serif" w:cs="Noto Sans Devanagari"/>
      <w:i/>
      <w:iCs/>
      <w:kern w:val="0"/>
      <w:sz w:val="24"/>
      <w:szCs w:val="24"/>
      <w:lang w:bidi="hi-IN"/>
    </w:rPr>
  </w:style>
  <w:style w:type="paragraph" w:styleId="6">
    <w:name w:val="Body Text"/>
    <w:basedOn w:val="1"/>
    <w:link w:val="20"/>
    <w:qFormat/>
    <w:uiPriority w:val="0"/>
    <w:pPr>
      <w:widowControl/>
      <w:spacing w:after="140" w:line="288" w:lineRule="auto"/>
      <w:jc w:val="left"/>
    </w:pPr>
    <w:rPr>
      <w:rFonts w:ascii="Liberation Serif" w:hAnsi="Liberation Serif" w:cs="Noto Sans Devanagari"/>
      <w:kern w:val="0"/>
      <w:sz w:val="22"/>
      <w:lang w:bidi="hi-IN"/>
    </w:rPr>
  </w:style>
  <w:style w:type="paragraph" w:styleId="7">
    <w:name w:val="Balloon Text"/>
    <w:basedOn w:val="1"/>
    <w:link w:val="21"/>
    <w:unhideWhenUsed/>
    <w:qFormat/>
    <w:uiPriority w:val="99"/>
    <w:pPr>
      <w:widowControl/>
      <w:jc w:val="left"/>
    </w:pPr>
    <w:rPr>
      <w:rFonts w:ascii="Liberation Serif" w:hAnsi="Liberation Serif" w:cs="Noto Sans Devanagari"/>
      <w:kern w:val="0"/>
      <w:sz w:val="18"/>
      <w:szCs w:val="18"/>
      <w:lang w:bidi="hi-IN"/>
    </w:rPr>
  </w:style>
  <w:style w:type="paragraph" w:styleId="8">
    <w:name w:val="footer"/>
    <w:basedOn w:val="1"/>
    <w:link w:val="19"/>
    <w:unhideWhenUsed/>
    <w:qFormat/>
    <w:uiPriority w:val="99"/>
    <w:pPr>
      <w:tabs>
        <w:tab w:val="center" w:pos="4153"/>
        <w:tab w:val="right" w:pos="8306"/>
      </w:tabs>
      <w:snapToGrid w:val="0"/>
      <w:jc w:val="left"/>
    </w:pPr>
    <w:rPr>
      <w:sz w:val="18"/>
      <w:szCs w:val="18"/>
    </w:rPr>
  </w:style>
  <w:style w:type="paragraph" w:styleId="9">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List"/>
    <w:basedOn w:val="6"/>
    <w:autoRedefine/>
    <w:qFormat/>
    <w:uiPriority w:val="0"/>
  </w:style>
  <w:style w:type="paragraph" w:styleId="11">
    <w:name w:val="HTML Preformatted"/>
    <w:basedOn w:val="1"/>
    <w:link w:val="3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cs="Courier New"/>
      <w:kern w:val="0"/>
      <w:sz w:val="20"/>
      <w:szCs w:val="20"/>
    </w:rPr>
  </w:style>
  <w:style w:type="paragraph" w:styleId="1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lang w:bidi="hi-IN"/>
    </w:rPr>
  </w:style>
  <w:style w:type="table" w:styleId="14">
    <w:name w:val="Table Grid"/>
    <w:basedOn w:val="13"/>
    <w:autoRedefine/>
    <w:qFormat/>
    <w:uiPriority w:val="0"/>
    <w:rPr>
      <w:rFonts w:ascii="Liberation Serif" w:hAnsi="Liberation Serif" w:cs="Noto Sans Devanaga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Hyperlink"/>
    <w:basedOn w:val="15"/>
    <w:unhideWhenUsed/>
    <w:qFormat/>
    <w:uiPriority w:val="99"/>
    <w:rPr>
      <w:color w:val="0563C1" w:themeColor="hyperlink"/>
      <w:u w:val="single"/>
      <w14:textFill>
        <w14:solidFill>
          <w14:schemeClr w14:val="hlink"/>
        </w14:solidFill>
      </w14:textFill>
    </w:rPr>
  </w:style>
  <w:style w:type="character" w:customStyle="1" w:styleId="18">
    <w:name w:val="页眉 字符"/>
    <w:basedOn w:val="15"/>
    <w:link w:val="9"/>
    <w:qFormat/>
    <w:uiPriority w:val="99"/>
    <w:rPr>
      <w:sz w:val="18"/>
      <w:szCs w:val="18"/>
    </w:rPr>
  </w:style>
  <w:style w:type="character" w:customStyle="1" w:styleId="19">
    <w:name w:val="页脚 字符"/>
    <w:basedOn w:val="15"/>
    <w:link w:val="8"/>
    <w:qFormat/>
    <w:uiPriority w:val="99"/>
    <w:rPr>
      <w:sz w:val="18"/>
      <w:szCs w:val="18"/>
    </w:rPr>
  </w:style>
  <w:style w:type="character" w:customStyle="1" w:styleId="20">
    <w:name w:val="正文文本 字符"/>
    <w:basedOn w:val="15"/>
    <w:link w:val="6"/>
    <w:qFormat/>
    <w:uiPriority w:val="0"/>
    <w:rPr>
      <w:rFonts w:ascii="Liberation Serif" w:hAnsi="Liberation Serif" w:cs="Noto Sans Devanagari"/>
      <w:kern w:val="0"/>
      <w:sz w:val="22"/>
      <w:lang w:bidi="hi-IN"/>
    </w:rPr>
  </w:style>
  <w:style w:type="character" w:customStyle="1" w:styleId="21">
    <w:name w:val="批注框文本 字符"/>
    <w:basedOn w:val="15"/>
    <w:link w:val="7"/>
    <w:qFormat/>
    <w:uiPriority w:val="99"/>
    <w:rPr>
      <w:rFonts w:ascii="Liberation Serif" w:hAnsi="Liberation Serif" w:cs="Noto Sans Devanagari"/>
      <w:kern w:val="0"/>
      <w:sz w:val="18"/>
      <w:szCs w:val="18"/>
      <w:lang w:bidi="hi-IN"/>
    </w:rPr>
  </w:style>
  <w:style w:type="character" w:customStyle="1" w:styleId="22">
    <w:name w:val="超链接1"/>
    <w:basedOn w:val="15"/>
    <w:unhideWhenUsed/>
    <w:qFormat/>
    <w:uiPriority w:val="99"/>
    <w:rPr>
      <w:color w:val="0000FF"/>
      <w:u w:val="single"/>
    </w:rPr>
  </w:style>
  <w:style w:type="paragraph" w:customStyle="1" w:styleId="23">
    <w:name w:val="Default"/>
    <w:qFormat/>
    <w:uiPriority w:val="0"/>
    <w:pPr>
      <w:widowControl w:val="0"/>
      <w:autoSpaceDE w:val="0"/>
      <w:autoSpaceDN w:val="0"/>
      <w:adjustRightInd w:val="0"/>
    </w:pPr>
    <w:rPr>
      <w:rFonts w:ascii="TCXiaoBiaoSong-B05S" w:hAnsi="Calibri" w:eastAsia="TCXiaoBiaoSong-B05S" w:cs="TCXiaoBiaoSong-B05S"/>
      <w:color w:val="000000"/>
      <w:sz w:val="24"/>
      <w:szCs w:val="24"/>
      <w:lang w:val="en-US" w:eastAsia="zh-CN" w:bidi="ar-SA"/>
    </w:rPr>
  </w:style>
  <w:style w:type="character" w:customStyle="1" w:styleId="24">
    <w:name w:val="Internet Link"/>
    <w:qFormat/>
    <w:uiPriority w:val="0"/>
    <w:rPr>
      <w:color w:val="000080"/>
      <w:u w:val="single"/>
      <w:lang w:val="zh-CN" w:eastAsia="zh-CN" w:bidi="zh-CN"/>
    </w:rPr>
  </w:style>
  <w:style w:type="paragraph" w:customStyle="1" w:styleId="25">
    <w:name w:val="Heading"/>
    <w:basedOn w:val="1"/>
    <w:next w:val="6"/>
    <w:qFormat/>
    <w:uiPriority w:val="0"/>
    <w:pPr>
      <w:keepNext/>
      <w:widowControl/>
      <w:spacing w:before="240" w:after="120"/>
      <w:jc w:val="left"/>
    </w:pPr>
    <w:rPr>
      <w:rFonts w:ascii="Liberation Sans" w:hAnsi="Liberation Sans" w:eastAsia="Noto Sans CJK JP Regular" w:cs="Noto Sans Devanagari"/>
      <w:kern w:val="0"/>
      <w:sz w:val="28"/>
      <w:szCs w:val="28"/>
      <w:lang w:bidi="hi-IN"/>
    </w:rPr>
  </w:style>
  <w:style w:type="paragraph" w:customStyle="1" w:styleId="26">
    <w:name w:val="Index"/>
    <w:basedOn w:val="1"/>
    <w:qFormat/>
    <w:uiPriority w:val="0"/>
    <w:pPr>
      <w:widowControl/>
      <w:suppressLineNumbers/>
      <w:jc w:val="left"/>
    </w:pPr>
    <w:rPr>
      <w:rFonts w:ascii="Liberation Serif" w:hAnsi="Liberation Serif" w:cs="Noto Sans Devanagari"/>
      <w:kern w:val="0"/>
      <w:sz w:val="22"/>
      <w:lang w:bidi="hi-IN"/>
    </w:rPr>
  </w:style>
  <w:style w:type="paragraph" w:customStyle="1" w:styleId="27">
    <w:name w:val="列出段落1"/>
    <w:basedOn w:val="1"/>
    <w:qFormat/>
    <w:uiPriority w:val="34"/>
    <w:pPr>
      <w:ind w:firstLine="420" w:firstLineChars="200"/>
    </w:pPr>
    <w:rPr>
      <w:rFonts w:ascii="Calibri" w:hAnsi="Calibri" w:eastAsia="宋体" w:cs="Times New Roman"/>
    </w:rPr>
  </w:style>
  <w:style w:type="paragraph" w:customStyle="1" w:styleId="28">
    <w:name w:val="修订1"/>
    <w:hidden/>
    <w:semiHidden/>
    <w:qFormat/>
    <w:uiPriority w:val="99"/>
    <w:rPr>
      <w:rFonts w:ascii="Liberation Serif" w:hAnsi="Liberation Serif" w:cs="Mangal" w:eastAsiaTheme="minorEastAsia"/>
      <w:sz w:val="22"/>
      <w:lang w:val="en-US" w:eastAsia="zh-CN" w:bidi="hi-IN"/>
    </w:rPr>
  </w:style>
  <w:style w:type="paragraph" w:customStyle="1" w:styleId="29">
    <w:name w:val="列表段落1"/>
    <w:basedOn w:val="1"/>
    <w:qFormat/>
    <w:uiPriority w:val="34"/>
    <w:pPr>
      <w:ind w:firstLine="420" w:firstLineChars="200"/>
    </w:pPr>
    <w:rPr>
      <w:rFonts w:ascii="Calibri" w:hAnsi="Calibri" w:eastAsia="宋体" w:cs="Times New Roman"/>
    </w:rPr>
  </w:style>
  <w:style w:type="paragraph" w:customStyle="1" w:styleId="30">
    <w:name w:val="注释级别 21"/>
    <w:qFormat/>
    <w:uiPriority w:val="1"/>
    <w:pPr>
      <w:widowControl w:val="0"/>
      <w:jc w:val="both"/>
    </w:pPr>
    <w:rPr>
      <w:rFonts w:ascii="Calibri" w:hAnsi="Calibri" w:eastAsia="宋体" w:cs="Times New Roman"/>
      <w:kern w:val="2"/>
      <w:sz w:val="21"/>
      <w:szCs w:val="22"/>
      <w:lang w:val="en-US" w:eastAsia="zh-CN" w:bidi="ar-SA"/>
    </w:rPr>
  </w:style>
  <w:style w:type="character" w:customStyle="1" w:styleId="31">
    <w:name w:val="HTML 预设格式 字符"/>
    <w:basedOn w:val="15"/>
    <w:link w:val="11"/>
    <w:qFormat/>
    <w:uiPriority w:val="0"/>
    <w:rPr>
      <w:rFonts w:ascii="黑体" w:hAnsi="Courier New" w:eastAsia="黑体" w:cs="Courier New"/>
    </w:rPr>
  </w:style>
  <w:style w:type="paragraph" w:styleId="32">
    <w:name w:val="List Paragraph"/>
    <w:basedOn w:val="1"/>
    <w:unhideWhenUsed/>
    <w:qFormat/>
    <w:uiPriority w:val="99"/>
    <w:pPr>
      <w:ind w:firstLine="420" w:firstLineChars="200"/>
    </w:pPr>
  </w:style>
  <w:style w:type="character" w:customStyle="1" w:styleId="33">
    <w:name w:val="Unresolved Mention"/>
    <w:basedOn w:val="1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6</Pages>
  <Words>3718</Words>
  <Characters>3829</Characters>
  <Lines>638</Lines>
  <Paragraphs>633</Paragraphs>
  <TotalTime>23</TotalTime>
  <ScaleCrop>false</ScaleCrop>
  <LinksUpToDate>false</LinksUpToDate>
  <CharactersWithSpaces>3992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2012-01-29T02:00:00Z</dcterms:created>
  <dc:creator>微软用户</dc:creator>
  <cp:lastModifiedBy>Eric。</cp:lastModifiedBy>
  <cp:lastPrinted>2022-11-22T13:18:00Z</cp:lastPrinted>
  <dcterms:modified xsi:type="dcterms:W3CDTF">2026-10-07T18:41:05Z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1F1B04C4E42D40FCBF269BE0738AC16C_13</vt:lpwstr>
  </property>
  <property fmtid="{D5CDD505-2E9C-101B-9397-08002B2CF9AE}" pid="4" name="KSOTemplateDocerSaveRecord">
    <vt:lpwstr>eyJoZGlkIjoiNDYwYWM5N2I0ZjI1NmZjYWJmMjFlNzMyNTczOWYxOTAiLCJ1c2VySWQiOiIxMzc0NDI0MjIxMjIifQ==</vt:lpwstr>
  </property>
</Properties>
</file>