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750f297e0c128c1124ec8e13465529e11f6b40"/>
    <w:p>
      <w:pPr>
        <w:pStyle w:val="Heading1"/>
      </w:pPr>
      <w:r>
        <w:t xml:space="preserve">The Alignment Room: the leadership workbook as an app</w:t>
      </w:r>
    </w:p>
    <w:p>
      <w:pPr>
        <w:pStyle w:val="FirstParagraph"/>
      </w:pPr>
      <w:r>
        <w:rPr>
          <w:bCs/>
          <w:b/>
        </w:rPr>
        <w:t xml:space="preserve">Concept and build brief · Draft v1 · 22 July 2026 · Working title only</w:t>
      </w:r>
    </w:p>
    <w:p>
      <w:pPr>
        <w:pStyle w:val="BodyText"/>
      </w:pPr>
      <w:r>
        <w:t xml:space="preserve">The 90-Day Workbook (doc 06) stays the leave-behind. This is how its first section gets</w:t>
      </w:r>
      <w:r>
        <w:t xml:space="preserve"> </w:t>
      </w:r>
      <w:r>
        <w:rPr>
          <w:iCs/>
          <w:i/>
        </w:rPr>
        <w:t xml:space="preserve">filled in</w:t>
      </w:r>
      <w:r>
        <w:t xml:space="preserve">: each leader answers alone through a link before the session, the system surfaces where they agree and where they collide, and the working session uses AI live in the room to turn their combined answers into the governance policy. Then each leader’s boundaries become a persona the team can consult before work ever reaches the leadership table.</w:t>
      </w:r>
    </w:p>
    <w:bookmarkStart w:id="20" w:name="X71057611ec745f04652fdf4ebb3e12a97d82b4a"/>
    <w:p>
      <w:pPr>
        <w:pStyle w:val="Heading2"/>
      </w:pPr>
      <w:r>
        <w:t xml:space="preserve">What we’re borrowing from Expert OS (mechanics, not content)</w:t>
      </w:r>
    </w:p>
    <w:p>
      <w:pPr>
        <w:pStyle w:val="FirstParagraph"/>
      </w:pPr>
      <w:r>
        <w:t xml:space="preserve">From the summit app: the guided step sequence with progress (</w:t>
      </w:r>
      <w:r>
        <w:t xml:space="preserve">“</w:t>
      </w:r>
      <w:r>
        <w:t xml:space="preserve">Step 4 of 10</w:t>
      </w:r>
      <w:r>
        <w:t xml:space="preserve">”</w:t>
      </w:r>
      <w:r>
        <w:t xml:space="preserve">), an agent that interviews rather than presents a form, remembered context carried between steps (</w:t>
      </w:r>
      <w:r>
        <w:t xml:space="preserve">“</w:t>
      </w:r>
      <w:r>
        <w:t xml:space="preserve">I can see from your profile…</w:t>
      </w:r>
      <w:r>
        <w:t xml:space="preserve">”</w:t>
      </w:r>
      <w:r>
        <w:t xml:space="preserve">), pick-an-option-or-write-your-own at every question, the explicit</w:t>
      </w:r>
      <w:r>
        <w:t xml:space="preserve"> </w:t>
      </w:r>
      <w:r>
        <w:t xml:space="preserve">“</w:t>
      </w:r>
      <w:r>
        <w:t xml:space="preserve">lock it in</w:t>
      </w:r>
      <w:r>
        <w:t xml:space="preserve">”</w:t>
      </w:r>
      <w:r>
        <w:t xml:space="preserve"> </w:t>
      </w:r>
      <w:r>
        <w:t xml:space="preserve">moment, and a polished document handed back at the end. One more pattern worth stealing: the interactive calculator (sliders recalculating live) as a moment of delight mid-sequence. The content is his IP; the interaction pattern is just good product design.</w:t>
      </w:r>
    </w:p>
    <w:bookmarkEnd w:id="20"/>
    <w:bookmarkStart w:id="25" w:name="the-flow"/>
    <w:p>
      <w:pPr>
        <w:pStyle w:val="Heading2"/>
      </w:pPr>
      <w:r>
        <w:t xml:space="preserve">The flow</w:t>
      </w:r>
    </w:p>
    <w:bookmarkStart w:id="21" w:name="Xeefd0c01c7a1e238cbba514375a1cff8d02b1fb"/>
    <w:p>
      <w:pPr>
        <w:pStyle w:val="Heading3"/>
      </w:pPr>
      <w:r>
        <w:t xml:space="preserve">1. Before the session: the individual link (15 to 20 minutes per leader)</w:t>
      </w:r>
    </w:p>
    <w:p>
      <w:pPr>
        <w:pStyle w:val="FirstParagraph"/>
      </w:pPr>
      <w:r>
        <w:t xml:space="preserve">Each member of the leadership team gets a personal link. An agent walks them through the workbook’s Section 1, one question at a time, in vooee’s voice:</w:t>
      </w:r>
      <w:r>
        <w:t xml:space="preserve"> </w:t>
      </w:r>
      <w:r>
        <w:t xml:space="preserve">- The honest baseline (excites, worries, exposure, confidence 1 to 10 and why)</w:t>
      </w:r>
      <w:r>
        <w:t xml:space="preserve"> </w:t>
      </w:r>
      <w:r>
        <w:t xml:space="preserve">- Their six-area readiness scores, in pencil</w:t>
      </w:r>
      <w:r>
        <w:t xml:space="preserve"> </w:t>
      </w:r>
      <w:r>
        <w:t xml:space="preserve">- Their one-paragraph answer to</w:t>
      </w:r>
      <w:r>
        <w:t xml:space="preserve"> </w:t>
      </w:r>
      <w:r>
        <w:t xml:space="preserve">“</w:t>
      </w:r>
      <w:r>
        <w:t xml:space="preserve">why does this business want AI at all?</w:t>
      </w:r>
      <w:r>
        <w:t xml:space="preserve">”</w:t>
      </w:r>
      <w:r>
        <w:t xml:space="preserve"> </w:t>
      </w:r>
      <w:r>
        <w:t xml:space="preserve">- Their cut vs create instinct</w:t>
      </w:r>
      <w:r>
        <w:t xml:space="preserve"> </w:t>
      </w:r>
      <w:r>
        <w:t xml:space="preserve">- Their personal list of decisions that must stay human</w:t>
      </w:r>
      <w:r>
        <w:t xml:space="preserve"> </w:t>
      </w:r>
      <w:r>
        <w:t xml:space="preserve">-</w:t>
      </w:r>
      <w:r>
        <w:t xml:space="preserve"> </w:t>
      </w:r>
      <w:r>
        <w:rPr>
          <w:bCs/>
          <w:b/>
        </w:rPr>
        <w:t xml:space="preserve">The boundaries interview</w:t>
      </w:r>
      <w:r>
        <w:t xml:space="preserve"> </w:t>
      </w:r>
      <w:r>
        <w:t xml:space="preserve">(the constitution layer, below)</w:t>
      </w:r>
    </w:p>
    <w:p>
      <w:pPr>
        <w:pStyle w:val="BodyText"/>
      </w:pPr>
      <w:r>
        <w:t xml:space="preserve">Answers are private to Jeanna until the session. The agent probes one level deeper the way Expert OS does (</w:t>
      </w:r>
      <w:r>
        <w:t xml:space="preserve">“</w:t>
      </w:r>
      <w:r>
        <w:t xml:space="preserve">that’s the category; give me the moment where it actually hurts</w:t>
      </w:r>
      <w:r>
        <w:t xml:space="preserve">”</w:t>
      </w:r>
      <w:r>
        <w:t xml:space="preserve">).</w:t>
      </w:r>
    </w:p>
    <w:bookmarkEnd w:id="21"/>
    <w:bookmarkStart w:id="22" w:name="X72843c5f1ad0fb8846f14210f0f0b8ddf1fe070"/>
    <w:p>
      <w:pPr>
        <w:pStyle w:val="Heading3"/>
      </w:pPr>
      <w:r>
        <w:t xml:space="preserve">2. Between link and room: the tension report (for Jeanna, automatic)</w:t>
      </w:r>
    </w:p>
    <w:p>
      <w:pPr>
        <w:pStyle w:val="FirstParagraph"/>
      </w:pPr>
      <w:r>
        <w:t xml:space="preserve">The system compares the leaders’ answers and produces a facilitator’s brief:</w:t>
      </w:r>
      <w:r>
        <w:t xml:space="preserve"> </w:t>
      </w:r>
      <w:r>
        <w:t xml:space="preserve">-</w:t>
      </w:r>
      <w:r>
        <w:t xml:space="preserve"> </w:t>
      </w:r>
      <w:r>
        <w:rPr>
          <w:bCs/>
          <w:b/>
        </w:rPr>
        <w:t xml:space="preserve">Alignments:</w:t>
      </w:r>
      <w:r>
        <w:t xml:space="preserve"> </w:t>
      </w:r>
      <w:r>
        <w:t xml:space="preserve">where the team already agrees (name them fast in the session, momentum matters)</w:t>
      </w:r>
      <w:r>
        <w:t xml:space="preserve"> </w:t>
      </w:r>
      <w:r>
        <w:t xml:space="preserve">-</w:t>
      </w:r>
      <w:r>
        <w:t xml:space="preserve"> </w:t>
      </w:r>
      <w:r>
        <w:rPr>
          <w:bCs/>
          <w:b/>
        </w:rPr>
        <w:t xml:space="preserve">Tensions:</w:t>
      </w:r>
      <w:r>
        <w:t xml:space="preserve"> </w:t>
      </w:r>
      <w:r>
        <w:t xml:space="preserve">confidence spread, conflicting AI positions, one leader’s</w:t>
      </w:r>
      <w:r>
        <w:t xml:space="preserve"> </w:t>
      </w:r>
      <w:r>
        <w:t xml:space="preserve">“</w:t>
      </w:r>
      <w:r>
        <w:t xml:space="preserve">must stay human</w:t>
      </w:r>
      <w:r>
        <w:t xml:space="preserve">”</w:t>
      </w:r>
      <w:r>
        <w:t xml:space="preserve"> </w:t>
      </w:r>
      <w:r>
        <w:t xml:space="preserve">being another’s</w:t>
      </w:r>
      <w:r>
        <w:t xml:space="preserve"> </w:t>
      </w:r>
      <w:r>
        <w:t xml:space="preserve">“</w:t>
      </w:r>
      <w:r>
        <w:t xml:space="preserve">automate this first</w:t>
      </w:r>
      <w:r>
        <w:t xml:space="preserve">”</w:t>
      </w:r>
      <w:r>
        <w:t xml:space="preserve">, readiness scores that disagree by 4+ points on the same area</w:t>
      </w:r>
      <w:r>
        <w:t xml:space="preserve"> </w:t>
      </w:r>
      <w:r>
        <w:t xml:space="preserve">-</w:t>
      </w:r>
      <w:r>
        <w:t xml:space="preserve"> </w:t>
      </w:r>
      <w:r>
        <w:rPr>
          <w:bCs/>
          <w:b/>
        </w:rPr>
        <w:t xml:space="preserve">The five-paragraphs problem, made visible:</w:t>
      </w:r>
      <w:r>
        <w:t xml:space="preserve"> </w:t>
      </w:r>
      <w:r>
        <w:t xml:space="preserve">their</w:t>
      </w:r>
      <w:r>
        <w:t xml:space="preserve"> </w:t>
      </w:r>
      <w:r>
        <w:t xml:space="preserve">“</w:t>
      </w:r>
      <w:r>
        <w:t xml:space="preserve">why AI</w:t>
      </w:r>
      <w:r>
        <w:t xml:space="preserve">”</w:t>
      </w:r>
      <w:r>
        <w:t xml:space="preserve"> </w:t>
      </w:r>
      <w:r>
        <w:t xml:space="preserve">paragraphs side by side. The workbook says</w:t>
      </w:r>
      <w:r>
        <w:t xml:space="preserve"> </w:t>
      </w:r>
      <w:r>
        <w:t xml:space="preserve">“</w:t>
      </w:r>
      <w:r>
        <w:t xml:space="preserve">if five leaders would write five different paragraphs, that is the first thing the ninety days fixes</w:t>
      </w:r>
      <w:r>
        <w:t xml:space="preserve">”</w:t>
      </w:r>
      <w:r>
        <w:t xml:space="preserve">; this shows them the five paragraphs.</w:t>
      </w:r>
      <w:r>
        <w:t xml:space="preserve"> </w:t>
      </w:r>
      <w:r>
        <w:t xml:space="preserve">Nothing is shown to the group without Jeanna deciding to show it; some tensions are better raised without attribution.</w:t>
      </w:r>
    </w:p>
    <w:bookmarkEnd w:id="22"/>
    <w:bookmarkStart w:id="23" w:name="Xeaff8b13ea7488ac8cbe0e10ef78a708c87ea6e"/>
    <w:p>
      <w:pPr>
        <w:pStyle w:val="Heading3"/>
      </w:pPr>
      <w:r>
        <w:t xml:space="preserve">3. In the room: drafting the ground rules live</w:t>
      </w:r>
    </w:p>
    <w:p>
      <w:pPr>
        <w:pStyle w:val="FirstParagraph"/>
      </w:pPr>
      <w:r>
        <w:t xml:space="preserve">The working session opens on the alignment map instead of a blank page. Then, projected live, AI drafts from their combined answers:</w:t>
      </w:r>
      <w:r>
        <w:t xml:space="preserve"> </w:t>
      </w:r>
      <w:r>
        <w:t xml:space="preserve">- The shared AI position paragraph (from five paragraphs to one, negotiated in the room)</w:t>
      </w:r>
      <w:r>
        <w:t xml:space="preserve"> </w:t>
      </w:r>
      <w:r>
        <w:t xml:space="preserve">- The</w:t>
      </w:r>
      <w:r>
        <w:t xml:space="preserve"> </w:t>
      </w:r>
      <w:r>
        <w:t xml:space="preserve">“</w:t>
      </w:r>
      <w:r>
        <w:t xml:space="preserve">decisions that stay human</w:t>
      </w:r>
      <w:r>
        <w:t xml:space="preserve">”</w:t>
      </w:r>
      <w:r>
        <w:t xml:space="preserve"> </w:t>
      </w:r>
      <w:r>
        <w:t xml:space="preserve">list (union of individual lists, argued down to the absolute few)</w:t>
      </w:r>
      <w:r>
        <w:t xml:space="preserve"> </w:t>
      </w:r>
      <w:r>
        <w:t xml:space="preserve">- The policy template’s brackets, pre-filled from their answers and edited aloud</w:t>
      </w:r>
      <w:r>
        <w:t xml:space="preserve"> </w:t>
      </w:r>
      <w:r>
        <w:t xml:space="preserve">The theatre of this matters commercially: they watch their own words become their governance policy in minutes. That is the</w:t>
      </w:r>
      <w:r>
        <w:t xml:space="preserve"> </w:t>
      </w:r>
      <w:r>
        <w:t xml:space="preserve">“</w:t>
      </w:r>
      <w:r>
        <w:t xml:space="preserve">he created an app for us</w:t>
      </w:r>
      <w:r>
        <w:t xml:space="preserve">”</w:t>
      </w:r>
      <w:r>
        <w:t xml:space="preserve"> </w:t>
      </w:r>
      <w:r>
        <w:t xml:space="preserve">moment from the summit, and it is also the product demo for everything else vooee sells.</w:t>
      </w:r>
    </w:p>
    <w:bookmarkEnd w:id="23"/>
    <w:bookmarkStart w:id="24" w:name="X2f10ef5e369cef09a169a84547d4793b40c239c"/>
    <w:p>
      <w:pPr>
        <w:pStyle w:val="Heading3"/>
      </w:pPr>
      <w:r>
        <w:t xml:space="preserve">4. After the room: the persona layer (the part with legs)</w:t>
      </w:r>
    </w:p>
    <w:p>
      <w:pPr>
        <w:pStyle w:val="FirstParagraph"/>
      </w:pPr>
      <w:r>
        <w:t xml:space="preserve">The boundaries interview from step 1 gives each leader a personal charter: what they value, what they veto, what evidence convinces them, what they never want to see in work that reaches them, how they weigh risk against speed. Each charter becomes a</w:t>
      </w:r>
      <w:r>
        <w:t xml:space="preserve"> </w:t>
      </w:r>
      <w:r>
        <w:rPr>
          <w:bCs/>
          <w:b/>
        </w:rPr>
        <w:t xml:space="preserve">persona the team can consult</w:t>
      </w:r>
      <w:r>
        <w:t xml:space="preserve">: a Claude Project per leader (</w:t>
      </w:r>
      <w:r>
        <w:t xml:space="preserve">“</w:t>
      </w:r>
      <w:r>
        <w:t xml:space="preserve">Ask the CFO-lens</w:t>
      </w:r>
      <w:r>
        <w:t xml:space="preserve">”</w:t>
      </w:r>
      <w:r>
        <w:t xml:space="preserve">), or one project holding all of them.</w:t>
      </w:r>
      <w:r>
        <w:t xml:space="preserve"> </w:t>
      </w:r>
      <w:r>
        <w:t xml:space="preserve">- A team member sense-checks work before it goes up:</w:t>
      </w:r>
      <w:r>
        <w:t xml:space="preserve"> </w:t>
      </w:r>
      <w:r>
        <w:t xml:space="preserve">“</w:t>
      </w:r>
      <w:r>
        <w:t xml:space="preserve">score this proposal the way our COO would; what would she push back on?</w:t>
      </w:r>
      <w:r>
        <w:t xml:space="preserve">”</w:t>
      </w:r>
      <w:r>
        <w:t xml:space="preserve"> </w:t>
      </w:r>
      <w:r>
        <w:t xml:space="preserve">- The personas are sanctioned and visible, built from what each leader actually said, not the team’s guesses. Leaders review and approve their own persona before it goes live.</w:t>
      </w:r>
      <w:r>
        <w:t xml:space="preserve"> </w:t>
      </w:r>
      <w:r>
        <w:t xml:space="preserve">- This inverts the vooee AI Boardroom skill (synthetic thought leaders): here the boardroom is the client’s own C-suite.</w:t>
      </w:r>
      <w:r>
        <w:t xml:space="preserve"> </w:t>
      </w:r>
      <w:r>
        <w:t xml:space="preserve">- It keeps working after the engagement ends, which makes it the natural bridge to the fractional seat: someone has to keep the personas current as the leaders’ thinking evolves.</w:t>
      </w:r>
    </w:p>
    <w:p>
      <w:pPr>
        <w:pStyle w:val="BodyText"/>
      </w:pPr>
      <w:r>
        <w:rPr>
          <w:bCs/>
          <w:b/>
        </w:rPr>
        <w:t xml:space="preserve">On Allie Miller’s vault prompts (constitution etc.):</w:t>
      </w:r>
      <w:r>
        <w:t xml:space="preserve"> </w:t>
      </w:r>
      <w:r>
        <w:t xml:space="preserve">use them as inspiration for the boundaries interview, the way the concept deserves, but the prompts themselves are her paid membership IP. Write vooee’s own question set from scratch (the charter fields above are that start), credit the inspiration privately, never redistribute her text. If Jeanna’s membership includes commercial licensing, check the terms before leaning closer.</w:t>
      </w:r>
    </w:p>
    <w:bookmarkEnd w:id="24"/>
    <w:bookmarkEnd w:id="25"/>
    <w:bookmarkStart w:id="26" w:name="build-path-all-existing-vooee-patterns"/>
    <w:p>
      <w:pPr>
        <w:pStyle w:val="Heading2"/>
      </w:pPr>
      <w:r>
        <w:t xml:space="preserve">Build path (all existing vooee patterns)</w:t>
      </w:r>
    </w:p>
    <w:p>
      <w:pPr>
        <w:pStyle w:val="FirstParagraph"/>
      </w:pPr>
      <w:r>
        <w:rPr>
          <w:bCs/>
          <w:b/>
        </w:rPr>
        <w:t xml:space="preserve">MVP (a working session away):</w:t>
      </w:r>
      <w:r>
        <w:t xml:space="preserve"> </w:t>
      </w:r>
      <w:r>
        <w:t xml:space="preserve">no app at all. A structured intake (Airtable form or Tally, one per leader) plus a Claude Project that ingests the responses and produces the tension report and the live drafting. Proves the session mechanics with a real client before any build.</w:t>
      </w:r>
    </w:p>
    <w:p>
      <w:pPr>
        <w:pStyle w:val="BodyText"/>
      </w:pPr>
      <w:r>
        <w:rPr>
          <w:bCs/>
          <w:b/>
        </w:rPr>
        <w:t xml:space="preserve">v1 (the product):</w:t>
      </w:r>
      <w:r>
        <w:t xml:space="preserve"> </w:t>
      </w:r>
      <w:r>
        <w:t xml:space="preserve">the Ikigai pattern grown up. Netlify page per engagement (gated link), questions served one at a time with progress, answers to Airtable via function, Claude API for the deeper-probe follow-ups and the tension report. Reuses: Ikigai’s question-to-report flow, Scorecard’s fulfilment runbook, the enquiry form’s Netlify-to-Airtable plumbing.</w:t>
      </w:r>
    </w:p>
    <w:p>
      <w:pPr>
        <w:pStyle w:val="BodyText"/>
      </w:pPr>
      <w:r>
        <w:rPr>
          <w:bCs/>
          <w:b/>
        </w:rPr>
        <w:t xml:space="preserve">v2 (the summit feel):</w:t>
      </w:r>
      <w:r>
        <w:t xml:space="preserve"> </w:t>
      </w:r>
      <w:r>
        <w:t xml:space="preserve">fully conversational agent (type or talk; the Vee/ElevenLabs stack makes voice intake possible), remembered context across steps, the readiness sliders as a live-recalculating screen, per-client branding. Only after v1 has run with two or three real leadership teams.</w:t>
      </w:r>
    </w:p>
    <w:p>
      <w:pPr>
        <w:pStyle w:val="BodyText"/>
      </w:pPr>
      <w:r>
        <w:rPr>
          <w:bCs/>
          <w:b/>
        </w:rPr>
        <w:t xml:space="preserve">Privacy, non-negotiable from v1:</w:t>
      </w:r>
      <w:r>
        <w:t xml:space="preserve"> </w:t>
      </w:r>
      <w:r>
        <w:t xml:space="preserve">leaders’ answers are sensitive personnel-adjacent data. Named data location, onshore processing posture, explicit consent line on the intake, deletion on request, and the engagement’s own adopted AI policy governs the tool that helped write it. Eating our own cooking here is a selling point, say it out loud in the room.</w:t>
      </w:r>
    </w:p>
    <w:bookmarkEnd w:id="26"/>
    <w:bookmarkStart w:id="27" w:name="where-it-sits-commercially"/>
    <w:p>
      <w:pPr>
        <w:pStyle w:val="Heading2"/>
      </w:pPr>
      <w:r>
        <w:t xml:space="preserve">Where it sits commercially</w:t>
      </w:r>
    </w:p>
    <w:p>
      <w:pPr>
        <w:numPr>
          <w:ilvl w:val="0"/>
          <w:numId w:val="1001"/>
        </w:numPr>
        <w:pStyle w:val="Compact"/>
      </w:pPr>
      <w:r>
        <w:rPr>
          <w:bCs/>
          <w:b/>
        </w:rPr>
        <w:t xml:space="preserve">Not a separate SKU.</w:t>
      </w:r>
      <w:r>
        <w:t xml:space="preserve"> </w:t>
      </w:r>
      <w:r>
        <w:t xml:space="preserve">It is how the Working Session and 90-Day Engagement are delivered; it makes the $1,900 session feel like technology plus judgement instead of a workshop with butcher’s paper.</w:t>
      </w:r>
    </w:p>
    <w:p>
      <w:pPr>
        <w:numPr>
          <w:ilvl w:val="0"/>
          <w:numId w:val="1001"/>
        </w:numPr>
        <w:pStyle w:val="Compact"/>
      </w:pPr>
      <w:r>
        <w:t xml:space="preserve">The persona layer is the retainer hook (personas need a keeper).</w:t>
      </w:r>
    </w:p>
    <w:p>
      <w:pPr>
        <w:numPr>
          <w:ilvl w:val="0"/>
          <w:numId w:val="1001"/>
        </w:numPr>
        <w:pStyle w:val="Compact"/>
      </w:pPr>
      <w:r>
        <w:t xml:space="preserve">The lite pack (doc 07) is untouched: self-servers get documents; facilitated clients get the room, the app and the personas. The tier line from doc 07 holds exactly.</w:t>
      </w:r>
    </w:p>
    <w:p>
      <w:pPr>
        <w:numPr>
          <w:ilvl w:val="0"/>
          <w:numId w:val="1001"/>
        </w:numPr>
        <w:pStyle w:val="Compact"/>
      </w:pPr>
      <w:r>
        <w:t xml:space="preserve">Demo cost is near zero once v1 exists: a two-minute screen recording of the tension report appearing is a proof-of-practice social post (pillar 1) that no competitor in the AU SMB space is showing.</w:t>
      </w:r>
    </w:p>
    <w:bookmarkEnd w:id="27"/>
    <w:bookmarkStart w:id="28" w:name="decisions-for-jeanna"/>
    <w:p>
      <w:pPr>
        <w:pStyle w:val="Heading2"/>
      </w:pPr>
      <w:r>
        <w:t xml:space="preserve">Decisions for Jeanna</w:t>
      </w:r>
    </w:p>
    <w:p>
      <w:pPr>
        <w:numPr>
          <w:ilvl w:val="0"/>
          <w:numId w:val="1002"/>
        </w:numPr>
        <w:pStyle w:val="Compact"/>
      </w:pPr>
      <w:r>
        <w:t xml:space="preserve">Run the MVP (forms + Claude Project) with the next Working Session client, before building anything?</w:t>
      </w:r>
    </w:p>
    <w:p>
      <w:pPr>
        <w:numPr>
          <w:ilvl w:val="0"/>
          <w:numId w:val="1002"/>
        </w:numPr>
        <w:pStyle w:val="Compact"/>
      </w:pPr>
      <w:r>
        <w:t xml:space="preserve">Naming:</w:t>
      </w:r>
      <w:r>
        <w:t xml:space="preserve"> </w:t>
      </w:r>
      <w:r>
        <w:t xml:space="preserve">“</w:t>
      </w:r>
      <w:r>
        <w:t xml:space="preserve">The Alignment Room</w:t>
      </w:r>
      <w:r>
        <w:t xml:space="preserve">”</w:t>
      </w:r>
      <w:r>
        <w:t xml:space="preserve"> </w:t>
      </w:r>
      <w:r>
        <w:t xml:space="preserve">is a working title; needs the usual collision check against existing product names.</w:t>
      </w:r>
    </w:p>
    <w:p>
      <w:pPr>
        <w:numPr>
          <w:ilvl w:val="0"/>
          <w:numId w:val="1002"/>
        </w:numPr>
        <w:pStyle w:val="Compact"/>
      </w:pPr>
      <w:r>
        <w:t xml:space="preserve">Persona hosting: client’s own Claude workspace (they own it, cleaner) vs vooee-managed (stickier, more admin). Default suggestion: client-owned with vooee as keeper via the fractional seat.</w:t>
      </w:r>
    </w:p>
    <w:p>
      <w:pPr>
        <w:numPr>
          <w:ilvl w:val="0"/>
          <w:numId w:val="1002"/>
        </w:numPr>
        <w:pStyle w:val="Compact"/>
      </w:pPr>
      <w:r>
        <w:t xml:space="preserve">Allie Miller licensing check before the boundaries interview borrows more than inspiration.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2026-07-22T20:43:16Z</dcterms:created>
  <dcterms:modified xsi:type="dcterms:W3CDTF">2026-07-22T20:43:16Z</dcterms:modified>
</cp:coreProperties>
</file>

<file path=docProps/custom.xml><?xml version="1.0" encoding="utf-8"?>
<Properties xmlns="http://schemas.openxmlformats.org/officeDocument/2006/custom-properties" xmlns:vt="http://schemas.openxmlformats.org/officeDocument/2006/docPropsVTypes"/>
</file>