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ection-ai-vooee-product-alignment"/>
    <w:p>
      <w:pPr>
        <w:pStyle w:val="Heading1"/>
      </w:pPr>
      <w:r>
        <w:t xml:space="preserve">Section AI → vooee product alignment</w:t>
      </w:r>
    </w:p>
    <w:p>
      <w:pPr>
        <w:pStyle w:val="FirstParagraph"/>
      </w:pPr>
      <w:r>
        <w:t xml:space="preserve">Compiled 22 July 2026. Product definitions taken from the Vooee Website Master Copy (finalised 3 July, restructure 14 July 2026).</w:t>
      </w:r>
    </w:p>
    <w:bookmarkStart w:id="20" w:name="the-one-line-read"/>
    <w:p>
      <w:pPr>
        <w:pStyle w:val="Heading2"/>
      </w:pPr>
      <w:r>
        <w:t xml:space="preserve">The one-line read</w:t>
      </w:r>
    </w:p>
    <w:p>
      <w:pPr>
        <w:pStyle w:val="FirstParagraph"/>
      </w:pPr>
      <w:r>
        <w:t xml:space="preserve">Section is the enterprise, US, ChatGPT-and-Copilot version of what vooee does for Australian small and medium businesses with Claude. Almost every asset in their library validates a rung of your ladder. The play is to use their research and structure as evidence, then out-position them on the three things they cannot do: local, hands-on, and Claude-native.</w:t>
      </w:r>
    </w:p>
    <w:bookmarkEnd w:id="20"/>
    <w:bookmarkStart w:id="21" w:name="your-four-products-as-they-stand-today"/>
    <w:p>
      <w:pPr>
        <w:pStyle w:val="Heading2"/>
      </w:pPr>
      <w:r>
        <w:t xml:space="preserve">Your four products, as they stand today</w:t>
      </w:r>
    </w:p>
    <w:p>
      <w:pPr>
        <w:numPr>
          <w:ilvl w:val="0"/>
          <w:numId w:val="1001"/>
        </w:numPr>
        <w:pStyle w:val="Compact"/>
      </w:pPr>
      <w:r>
        <w:rPr>
          <w:bCs/>
          <w:b/>
        </w:rPr>
        <w:t xml:space="preserve">AI for Beginners</w:t>
      </w:r>
      <w:r>
        <w:t xml:space="preserve"> </w:t>
      </w:r>
      <w:r>
        <w:t xml:space="preserve">— the beginner rung of AI Training (AI Fundamentals content plus the Beginner Workshop material; masterclasses retired 14 July, content lives on).</w:t>
      </w:r>
    </w:p>
    <w:p>
      <w:pPr>
        <w:numPr>
          <w:ilvl w:val="0"/>
          <w:numId w:val="1001"/>
        </w:numPr>
        <w:pStyle w:val="Compact"/>
      </w:pPr>
      <w:r>
        <w:rPr>
          <w:bCs/>
          <w:b/>
        </w:rPr>
        <w:t xml:space="preserve">Claude 101 webinar</w:t>
      </w:r>
      <w:r>
        <w:t xml:space="preserve"> </w:t>
      </w:r>
      <w:r>
        <w:t xml:space="preserve">— the free-to-low-cost Claude on-ramp (Products/Claude101 folder; webinar funnel with ~140-signup playbook already sketched in Notion, 9 June).</w:t>
      </w:r>
    </w:p>
    <w:p>
      <w:pPr>
        <w:numPr>
          <w:ilvl w:val="0"/>
          <w:numId w:val="1001"/>
        </w:numPr>
        <w:pStyle w:val="Compact"/>
      </w:pPr>
      <w:r>
        <w:rPr>
          <w:bCs/>
          <w:b/>
        </w:rPr>
        <w:t xml:space="preserve">Six Week AI Enablement Sprint</w:t>
      </w:r>
      <w:r>
        <w:t xml:space="preserve"> </w:t>
      </w:r>
      <w:r>
        <w:t xml:space="preserve">— team of five, real projects, leadership report at the end. Price on application.</w:t>
      </w:r>
    </w:p>
    <w:p>
      <w:pPr>
        <w:numPr>
          <w:ilvl w:val="0"/>
          <w:numId w:val="1001"/>
        </w:numPr>
        <w:pStyle w:val="Compact"/>
      </w:pPr>
      <w:r>
        <w:rPr>
          <w:bCs/>
          <w:b/>
        </w:rPr>
        <w:t xml:space="preserve">90-Day Leadership Engagement</w:t>
      </w:r>
      <w:r>
        <w:t xml:space="preserve"> </w:t>
      </w:r>
      <w:r>
        <w:t xml:space="preserve">— the advisory ladder’s middle rung, $15,000, following the $1,900 AI Working Session and its written 90-day roadmap.</w:t>
      </w:r>
    </w:p>
    <w:bookmarkEnd w:id="21"/>
    <w:bookmarkStart w:id="31" w:name="asset-by-asset-alignment"/>
    <w:p>
      <w:pPr>
        <w:pStyle w:val="Heading2"/>
      </w:pPr>
      <w:r>
        <w:t xml:space="preserve">Asset-by-asset alignment</w:t>
      </w:r>
    </w:p>
    <w:bookmarkStart w:id="22" w:name="Xdd7baf4a54acecae06f4f54a4a85e6ded6ca97a"/>
    <w:p>
      <w:pPr>
        <w:pStyle w:val="Heading3"/>
      </w:pPr>
      <w:r>
        <w:t xml:space="preserve">The AI Strategy Playbook → AI Working Session + 90-Day Engagement</w:t>
      </w:r>
    </w:p>
    <w:p>
      <w:pPr>
        <w:pStyle w:val="FirstParagraph"/>
      </w:pPr>
      <w:r>
        <w:t xml:space="preserve">Their pitch is</w:t>
      </w:r>
      <w:r>
        <w:t xml:space="preserve"> </w:t>
      </w:r>
      <w:r>
        <w:t xml:space="preserve">“</w:t>
      </w:r>
      <w:r>
        <w:t xml:space="preserve">you need an AI strategy before you spend</w:t>
      </w:r>
      <w:r>
        <w:t xml:space="preserve">”</w:t>
      </w:r>
      <w:r>
        <w:t xml:space="preserve">. Yours is the same, priced at $1,900 with a written 90-day roadmap. Use their existence as category proof: if enterprises pay Section for strategy-first, an SMB paying $1,900 for the same discipline is buying the small, sane version.</w:t>
      </w:r>
      <w:r>
        <w:t xml:space="preserve"> </w:t>
      </w:r>
      <w:r>
        <w:rPr>
          <w:bCs/>
          <w:b/>
        </w:rPr>
        <w:t xml:space="preserve">Do:</w:t>
      </w:r>
      <w:r>
        <w:t xml:space="preserve"> </w:t>
      </w:r>
      <w:r>
        <w:t xml:space="preserve">lift the</w:t>
      </w:r>
      <w:r>
        <w:t xml:space="preserve"> </w:t>
      </w:r>
      <w:r>
        <w:rPr>
          <w:iCs/>
          <w:i/>
        </w:rPr>
        <w:t xml:space="preserve">agenda shape</w:t>
      </w:r>
      <w:r>
        <w:t xml:space="preserve"> </w:t>
      </w:r>
      <w:r>
        <w:t xml:space="preserve">(assess, prioritise, sequence, govern) as a sanity check against your Working Session outline.</w:t>
      </w:r>
      <w:r>
        <w:t xml:space="preserve"> </w:t>
      </w:r>
      <w:r>
        <w:rPr>
          <w:bCs/>
          <w:b/>
        </w:rPr>
        <w:t xml:space="preserve">Don’t:</w:t>
      </w:r>
      <w:r>
        <w:t xml:space="preserve"> </w:t>
      </w:r>
      <w:r>
        <w:t xml:space="preserve">reuse their frameworks by name.</w:t>
      </w:r>
    </w:p>
    <w:bookmarkEnd w:id="22"/>
    <w:bookmarkStart w:id="23" w:name="Xd596748d13148dd96c0b6244a4a4b532d28df09"/>
    <w:p>
      <w:pPr>
        <w:pStyle w:val="Heading3"/>
      </w:pPr>
      <w:r>
        <w:t xml:space="preserve">The AI Change Management Playbook → Six Week Sprint</w:t>
      </w:r>
    </w:p>
    <w:p>
      <w:pPr>
        <w:pStyle w:val="FirstParagraph"/>
      </w:pPr>
      <w:r>
        <w:t xml:space="preserve">This is the strongest overlap in the library. Their argument (AI fails without deliberate change management) is the exact argument your Sprint page already makes with the EY quote about leadership not providing guidance. The Sprint</w:t>
      </w:r>
      <w:r>
        <w:t xml:space="preserve"> </w:t>
      </w:r>
      <w:r>
        <w:rPr>
          <w:iCs/>
          <w:i/>
        </w:rPr>
        <w:t xml:space="preserve">is</w:t>
      </w:r>
      <w:r>
        <w:t xml:space="preserve"> </w:t>
      </w:r>
      <w:r>
        <w:t xml:space="preserve">change management dressed as capability building: shared language, cohort learning, projects that stay in the business.</w:t>
      </w:r>
      <w:r>
        <w:t xml:space="preserve"> </w:t>
      </w:r>
      <w:r>
        <w:rPr>
          <w:bCs/>
          <w:b/>
        </w:rPr>
        <w:t xml:space="preserve">Do:</w:t>
      </w:r>
      <w:r>
        <w:t xml:space="preserve"> </w:t>
      </w:r>
      <w:r>
        <w:t xml:space="preserve">read it before your next Sprint pitch; it will arm the leadership conversation. Their vocabulary (</w:t>
      </w:r>
      <w:r>
        <w:t xml:space="preserve">“</w:t>
      </w:r>
      <w:r>
        <w:t xml:space="preserve">champions</w:t>
      </w:r>
      <w:r>
        <w:t xml:space="preserve">”</w:t>
      </w:r>
      <w:r>
        <w:t xml:space="preserve">,</w:t>
      </w:r>
      <w:r>
        <w:t xml:space="preserve"> </w:t>
      </w:r>
      <w:r>
        <w:t xml:space="preserve">“</w:t>
      </w:r>
      <w:r>
        <w:t xml:space="preserve">adoption curve</w:t>
      </w:r>
      <w:r>
        <w:t xml:space="preserve">”</w:t>
      </w:r>
      <w:r>
        <w:t xml:space="preserve">,</w:t>
      </w:r>
      <w:r>
        <w:t xml:space="preserve"> </w:t>
      </w:r>
      <w:r>
        <w:t xml:space="preserve">“</w:t>
      </w:r>
      <w:r>
        <w:t xml:space="preserve">resistance</w:t>
      </w:r>
      <w:r>
        <w:t xml:space="preserve">”</w:t>
      </w:r>
      <w:r>
        <w:t xml:space="preserve">) maps to your</w:t>
      </w:r>
      <w:r>
        <w:t xml:space="preserve"> </w:t>
      </w:r>
      <w:r>
        <w:t xml:space="preserve">“</w:t>
      </w:r>
      <w:r>
        <w:t xml:space="preserve">shared language / capability from within</w:t>
      </w:r>
      <w:r>
        <w:t xml:space="preserve">”</w:t>
      </w:r>
      <w:r>
        <w:t xml:space="preserve">.</w:t>
      </w:r>
      <w:r>
        <w:t xml:space="preserve"> </w:t>
      </w:r>
      <w:r>
        <w:rPr>
          <w:bCs/>
          <w:b/>
        </w:rPr>
        <w:t xml:space="preserve">Don’t:</w:t>
      </w:r>
      <w:r>
        <w:t xml:space="preserve"> </w:t>
      </w:r>
      <w:r>
        <w:t xml:space="preserve">adopt their jargon; your plainer language is the differentiator.</w:t>
      </w:r>
    </w:p>
    <w:bookmarkEnd w:id="23"/>
    <w:bookmarkStart w:id="24" w:name="X4166c22ba2c2f41ee57be08e6f51cf2a14ca71b"/>
    <w:p>
      <w:pPr>
        <w:pStyle w:val="Heading3"/>
      </w:pPr>
      <w:r>
        <w:t xml:space="preserve">The Enterprise AI Transformation Playbook → the whole ladder</w:t>
      </w:r>
    </w:p>
    <w:p>
      <w:pPr>
        <w:pStyle w:val="FirstParagraph"/>
      </w:pPr>
      <w:r>
        <w:t xml:space="preserve">Their three-stage journey (roughly: experimentation → proficiency → transformation) is your ladder in enterprise clothing: Beginners/Claude 101 (experiment) → Sprint (proficiency) → 90-Day Engagement / fractional seat (transformation). Their claim of</w:t>
      </w:r>
      <w:r>
        <w:t xml:space="preserve"> </w:t>
      </w:r>
      <w:r>
        <w:t xml:space="preserve">“</w:t>
      </w:r>
      <w:r>
        <w:t xml:space="preserve">150+ enterprise organisations</w:t>
      </w:r>
      <w:r>
        <w:t xml:space="preserve">”</w:t>
      </w:r>
      <w:r>
        <w:t xml:space="preserve"> </w:t>
      </w:r>
      <w:r>
        <w:t xml:space="preserve">is the evidence base.</w:t>
      </w:r>
      <w:r>
        <w:t xml:space="preserve"> </w:t>
      </w:r>
      <w:r>
        <w:rPr>
          <w:bCs/>
          <w:b/>
        </w:rPr>
        <w:t xml:space="preserve">Do:</w:t>
      </w:r>
      <w:r>
        <w:t xml:space="preserve"> </w:t>
      </w:r>
      <w:r>
        <w:t xml:space="preserve">borrow the</w:t>
      </w:r>
      <w:r>
        <w:t xml:space="preserve"> </w:t>
      </w:r>
      <w:r>
        <w:rPr>
          <w:iCs/>
          <w:i/>
        </w:rPr>
        <w:t xml:space="preserve">staging logic</w:t>
      </w:r>
      <w:r>
        <w:t xml:space="preserve"> </w:t>
      </w:r>
      <w:r>
        <w:t xml:space="preserve">to explain why a client shouldn’t jump straight to advisory, or stop at a workshop. It gives you a neutral, third-party way to say</w:t>
      </w:r>
      <w:r>
        <w:t xml:space="preserve"> </w:t>
      </w:r>
      <w:r>
        <w:t xml:space="preserve">“</w:t>
      </w:r>
      <w:r>
        <w:t xml:space="preserve">capability comes in stages</w:t>
      </w:r>
      <w:r>
        <w:t xml:space="preserve">”</w:t>
      </w:r>
      <w:r>
        <w:t xml:space="preserve">.</w:t>
      </w:r>
    </w:p>
    <w:bookmarkEnd w:id="24"/>
    <w:bookmarkStart w:id="25" w:name="X986d9990e585fce2a4446918b0cba41cbab02c3"/>
    <w:p>
      <w:pPr>
        <w:pStyle w:val="Heading3"/>
      </w:pPr>
      <w:r>
        <w:t xml:space="preserve">The Head of AI Starter Manual → 90-Day Engagement + fractional seats</w:t>
      </w:r>
    </w:p>
    <w:p>
      <w:pPr>
        <w:pStyle w:val="FirstParagraph"/>
      </w:pPr>
      <w:r>
        <w:t xml:space="preserve">Section’s answer to</w:t>
      </w:r>
      <w:r>
        <w:t xml:space="preserve"> </w:t>
      </w:r>
      <w:r>
        <w:t xml:space="preserve">“</w:t>
      </w:r>
      <w:r>
        <w:t xml:space="preserve">who owns AI?</w:t>
      </w:r>
      <w:r>
        <w:t xml:space="preserve">”</w:t>
      </w:r>
      <w:r>
        <w:t xml:space="preserve"> </w:t>
      </w:r>
      <w:r>
        <w:t xml:space="preserve">is train a Head of AI. Most Australian SMBs will never hire one. Your fractional advisor seat and 90-Day Engagement are the SMB answer to the same question.</w:t>
      </w:r>
      <w:r>
        <w:t xml:space="preserve"> </w:t>
      </w:r>
      <w:r>
        <w:rPr>
          <w:bCs/>
          <w:b/>
        </w:rPr>
        <w:t xml:space="preserve">Do:</w:t>
      </w:r>
      <w:r>
        <w:t xml:space="preserve"> </w:t>
      </w:r>
      <w:r>
        <w:t xml:space="preserve">use</w:t>
      </w:r>
      <w:r>
        <w:t xml:space="preserve"> </w:t>
      </w:r>
      <w:r>
        <w:t xml:space="preserve">“</w:t>
      </w:r>
      <w:r>
        <w:t xml:space="preserve">you don’t need a Head of AI, you need someone senior in your corner</w:t>
      </w:r>
      <w:r>
        <w:t xml:space="preserve">”</w:t>
      </w:r>
      <w:r>
        <w:t xml:space="preserve"> </w:t>
      </w:r>
      <w:r>
        <w:t xml:space="preserve">as a positioning line (it passes your voice rules). The manual’s topic list is a checklist for what your advisory should visibly cover.</w:t>
      </w:r>
    </w:p>
    <w:bookmarkEnd w:id="25"/>
    <w:bookmarkStart w:id="26" w:name="Xde177b809841351caf98c9259bbc3b854c18af1"/>
    <w:p>
      <w:pPr>
        <w:pStyle w:val="Heading3"/>
      </w:pPr>
      <w:r>
        <w:t xml:space="preserve">The AI Proficiency Report → AI for Beginners + Sprint (proof and measurement)</w:t>
      </w:r>
    </w:p>
    <w:p>
      <w:pPr>
        <w:pStyle w:val="FirstParagraph"/>
      </w:pPr>
      <w:r>
        <w:t xml:space="preserve">Their benchmark: four proficiency levels, and meaningful ROI requires ~80% of the workforce using AI deeply every week. Two uses:</w:t>
      </w:r>
      <w:r>
        <w:t xml:space="preserve"> </w:t>
      </w:r>
      <w:r>
        <w:t xml:space="preserve">1.</w:t>
      </w:r>
      <w:r>
        <w:t xml:space="preserve"> </w:t>
      </w:r>
      <w:r>
        <w:rPr>
          <w:bCs/>
          <w:b/>
        </w:rPr>
        <w:t xml:space="preserve">Sales evidence.</w:t>
      </w:r>
      <w:r>
        <w:t xml:space="preserve"> </w:t>
      </w:r>
      <w:r>
        <w:t xml:space="preserve">“</w:t>
      </w:r>
      <w:r>
        <w:t xml:space="preserve">Most teams sit in the bottom two proficiency levels</w:t>
      </w:r>
      <w:r>
        <w:t xml:space="preserve">”</w:t>
      </w:r>
      <w:r>
        <w:t xml:space="preserve"> </w:t>
      </w:r>
      <w:r>
        <w:t xml:space="preserve">is a citable reason the Sprint exists. Pair with your existing EY stats (35% formally trained, 5% fully enabled, 66% want more training).</w:t>
      </w:r>
      <w:r>
        <w:t xml:space="preserve"> </w:t>
      </w:r>
      <w:r>
        <w:t xml:space="preserve">2.</w:t>
      </w:r>
      <w:r>
        <w:t xml:space="preserve"> </w:t>
      </w:r>
      <w:r>
        <w:rPr>
          <w:bCs/>
          <w:b/>
        </w:rPr>
        <w:t xml:space="preserve">Measurement idea.</w:t>
      </w:r>
      <w:r>
        <w:t xml:space="preserve"> </w:t>
      </w:r>
      <w:r>
        <w:t xml:space="preserve">A lightweight before/after proficiency pulse for Sprint cohorts feeds the post-sprint leadership report and eventually gives vooee its own citable AU dataset. That dataset is something Section does not have: Australian SMB numbers.</w:t>
      </w:r>
    </w:p>
    <w:bookmarkEnd w:id="26"/>
    <w:bookmarkStart w:id="27" w:name="X61ef62d894bde17c7d51599d605434dd1e1e242"/>
    <w:p>
      <w:pPr>
        <w:pStyle w:val="Heading3"/>
      </w:pPr>
      <w:r>
        <w:t xml:space="preserve">Custom GPT Creation Workbook → Claude 101 + Cowork &amp; Design workshop</w:t>
      </w:r>
    </w:p>
    <w:p>
      <w:pPr>
        <w:pStyle w:val="FirstParagraph"/>
      </w:pPr>
      <w:r>
        <w:t xml:space="preserve">Their workbook treats a custom GPT as a product with a requirements doc. Your Claude-native equivalent is Projects, custom instructions, and Skills, which is precisely the Claude 101 and Cowork &amp; Design syllabus.</w:t>
      </w:r>
      <w:r>
        <w:t xml:space="preserve"> </w:t>
      </w:r>
      <w:r>
        <w:rPr>
          <w:bCs/>
          <w:b/>
        </w:rPr>
        <w:t xml:space="preserve">Do:</w:t>
      </w:r>
      <w:r>
        <w:t xml:space="preserve"> </w:t>
      </w:r>
      <w:r>
        <w:t xml:space="preserve">consider a one-page vooee worksheet (</w:t>
      </w:r>
      <w:r>
        <w:t xml:space="preserve">“</w:t>
      </w:r>
      <w:r>
        <w:t xml:space="preserve">design your first Claude Project: job, knowledge, instructions, first three tasks</w:t>
      </w:r>
      <w:r>
        <w:t xml:space="preserve">”</w:t>
      </w:r>
      <w:r>
        <w:t xml:space="preserve">) as the Claude 101 follow-up artefact. Same idea, your IP, your tool.</w:t>
      </w:r>
    </w:p>
    <w:bookmarkEnd w:id="27"/>
    <w:bookmarkStart w:id="28" w:name="Xe55417ff59ac90205b1b5444f8d11e144d560b9"/>
    <w:p>
      <w:pPr>
        <w:pStyle w:val="Heading3"/>
      </w:pPr>
      <w:r>
        <w:t xml:space="preserve">AI Workflow Audit Worksheet → Sprint week 2 + AI Ikigai</w:t>
      </w:r>
    </w:p>
    <w:p>
      <w:pPr>
        <w:pStyle w:val="FirstParagraph"/>
      </w:pPr>
      <w:r>
        <w:t xml:space="preserve">Their worksheet finds AI opportunities in existing workflows. You already have two versions of this: AI Ikigai (free, self-serve) and the Sprint’s week-2 project identification workshop. You are ahead here; Ikigai is more distinctive than their worksheet.</w:t>
      </w:r>
    </w:p>
    <w:bookmarkEnd w:id="28"/>
    <w:bookmarkStart w:id="29" w:name="X21543d3bc9d9ca88b3306b38f2fd52948be6166"/>
    <w:p>
      <w:pPr>
        <w:pStyle w:val="Heading3"/>
      </w:pPr>
      <w:r>
        <w:t xml:space="preserve">AI Pitch Deck Template → a gap worth filling</w:t>
      </w:r>
    </w:p>
    <w:p>
      <w:pPr>
        <w:pStyle w:val="FirstParagraph"/>
      </w:pPr>
      <w:r>
        <w:t xml:space="preserve">Section arms champions to sell AI internally. Your Sprint buyer often has to do the same (</w:t>
      </w:r>
      <w:r>
        <w:t xml:space="preserve">“</w:t>
      </w:r>
      <w:r>
        <w:t xml:space="preserve">I need to convince the director</w:t>
      </w:r>
      <w:r>
        <w:t xml:space="preserve">”</w:t>
      </w:r>
      <w:r>
        <w:t xml:space="preserve">). A one-page</w:t>
      </w:r>
      <w:r>
        <w:t xml:space="preserve"> </w:t>
      </w:r>
      <w:r>
        <w:t xml:space="preserve">“</w:t>
      </w:r>
      <w:r>
        <w:t xml:space="preserve">make the case for the Sprint</w:t>
      </w:r>
      <w:r>
        <w:t xml:space="preserve">”</w:t>
      </w:r>
      <w:r>
        <w:t xml:space="preserve"> </w:t>
      </w:r>
      <w:r>
        <w:t xml:space="preserve">summary (problem stats, program shape, what leadership gets at the end) would shorten your sales cycle. Nothing on the current site does this job.</w:t>
      </w:r>
    </w:p>
    <w:bookmarkEnd w:id="29"/>
    <w:bookmarkStart w:id="30" w:name="X3e8f43a7414cb2a7bb2bbfe6da83eab49232883"/>
    <w:p>
      <w:pPr>
        <w:pStyle w:val="Heading3"/>
      </w:pPr>
      <w:r>
        <w:t xml:space="preserve">The free event/webinar engine → the Claude 101 funnel model</w:t>
      </w:r>
    </w:p>
    <w:p>
      <w:pPr>
        <w:pStyle w:val="FirstParagraph"/>
      </w:pPr>
      <w:r>
        <w:t xml:space="preserve">Section’s machine: free live events with big names → email capture → paid bootcamps and enterprise deals. Your Claude 101 webinar can run the same engine at SMB scale: free webinar → replay + recap + offer email → paid workshop → Sprint → advisory. The Notion notes from 9 June (pre-webinar</w:t>
      </w:r>
      <w:r>
        <w:t xml:space="preserve"> </w:t>
      </w:r>
      <w:r>
        <w:t xml:space="preserve">“</w:t>
      </w:r>
      <w:r>
        <w:t xml:space="preserve">where are you with Claude</w:t>
      </w:r>
      <w:r>
        <w:t xml:space="preserve">”</w:t>
      </w:r>
      <w:r>
        <w:t xml:space="preserve"> </w:t>
      </w:r>
      <w:r>
        <w:t xml:space="preserve">email, skills demo) slot straight into this.</w:t>
      </w:r>
    </w:p>
    <w:bookmarkEnd w:id="30"/>
    <w:bookmarkEnd w:id="31"/>
    <w:bookmarkStart w:id="32" w:name="where-you-win-where-they-win"/>
    <w:p>
      <w:pPr>
        <w:pStyle w:val="Heading2"/>
      </w:pPr>
      <w:r>
        <w:t xml:space="preserve">Where you win, where they win</w:t>
      </w:r>
    </w:p>
    <w:p>
      <w:pPr>
        <w:pStyle w:val="FirstParagraph"/>
      </w:pPr>
      <w:r>
        <w:rPr>
          <w:bCs/>
          <w:b/>
        </w:rPr>
        <w:t xml:space="preserve">Section wins on:</w:t>
      </w:r>
      <w:r>
        <w:t xml:space="preserve"> </w:t>
      </w:r>
      <w:r>
        <w:t xml:space="preserve">scale, brand names on stage, research budget, enterprise procurement.</w:t>
      </w:r>
      <w:r>
        <w:t xml:space="preserve"> </w:t>
      </w:r>
      <w:r>
        <w:rPr>
          <w:bCs/>
          <w:b/>
        </w:rPr>
        <w:t xml:space="preserve">vooee wins on:</w:t>
      </w:r>
      <w:r>
        <w:t xml:space="preserve"> </w:t>
      </w:r>
      <w:r>
        <w:t xml:space="preserve">Australia (they have no local presence or AU data), genuinely small businesses (their model needs seats), hands-on building (their model is cohort courses; yours leaves working projects behind), Claude depth (they are ChatGPT/Copilot-centric), and voice (their content is corporate; yours is a person).</w:t>
      </w:r>
    </w:p>
    <w:bookmarkEnd w:id="32"/>
    <w:bookmarkStart w:id="33" w:name="three-actions-that-fall-out-of-this"/>
    <w:p>
      <w:pPr>
        <w:pStyle w:val="Heading2"/>
      </w:pPr>
      <w:r>
        <w:t xml:space="preserve">Three actions that fall out of this</w:t>
      </w:r>
    </w:p>
    <w:p>
      <w:pPr>
        <w:numPr>
          <w:ilvl w:val="0"/>
          <w:numId w:val="1002"/>
        </w:numPr>
        <w:pStyle w:val="Compact"/>
      </w:pPr>
      <w:r>
        <w:t xml:space="preserve">Download the Change Management Playbook, Proficiency Report and Head of AI Starter Manual first; they are the three with direct sales value.</w:t>
      </w:r>
    </w:p>
    <w:p>
      <w:pPr>
        <w:numPr>
          <w:ilvl w:val="0"/>
          <w:numId w:val="1002"/>
        </w:numPr>
        <w:pStyle w:val="Compact"/>
      </w:pPr>
      <w:r>
        <w:t xml:space="preserve">Build the two artefacts flagged above: the Claude Project design worksheet (Claude 101 follow-up) and the</w:t>
      </w:r>
      <w:r>
        <w:t xml:space="preserve"> </w:t>
      </w:r>
      <w:r>
        <w:t xml:space="preserve">“</w:t>
      </w:r>
      <w:r>
        <w:t xml:space="preserve">make the case</w:t>
      </w:r>
      <w:r>
        <w:t xml:space="preserve">”</w:t>
      </w:r>
      <w:r>
        <w:t xml:space="preserve"> </w:t>
      </w:r>
      <w:r>
        <w:t xml:space="preserve">one-pager (Sprint sales tool).</w:t>
      </w:r>
    </w:p>
    <w:p>
      <w:pPr>
        <w:numPr>
          <w:ilvl w:val="0"/>
          <w:numId w:val="1002"/>
        </w:numPr>
        <w:pStyle w:val="Compact"/>
      </w:pPr>
      <w:r>
        <w:t xml:space="preserve">Add a proficiency pulse to the Sprint so vooee starts accumulating its own AU benchmark data.</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2026-07-22T20:00:18Z</dcterms:created>
  <dcterms:modified xsi:type="dcterms:W3CDTF">2026-07-22T20:00:18Z</dcterms:modified>
</cp:coreProperties>
</file>

<file path=docProps/custom.xml><?xml version="1.0" encoding="utf-8"?>
<Properties xmlns="http://schemas.openxmlformats.org/officeDocument/2006/custom-properties" xmlns:vt="http://schemas.openxmlformats.org/officeDocument/2006/docPropsVTypes"/>
</file>