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5a76207df7d76c4a6d4148eede5ac1b169614d"/>
    <w:p>
      <w:pPr>
        <w:pStyle w:val="Heading1"/>
      </w:pPr>
      <w:r>
        <w:t xml:space="preserve">Social media strategy — built on the product ladder</w:t>
      </w:r>
    </w:p>
    <w:p>
      <w:pPr>
        <w:pStyle w:val="FirstParagraph"/>
      </w:pPr>
      <w:r>
        <w:t xml:space="preserve">Compiled 22 July 2026. Voice rules applied throughout: clear, calm, human, useful; no banned words; no em-dashes; no</w:t>
      </w:r>
      <w:r>
        <w:t xml:space="preserve"> </w:t>
      </w:r>
      <w:r>
        <w:t xml:space="preserve">“</w:t>
      </w:r>
      <w:r>
        <w:t xml:space="preserve">not X, but Y</w:t>
      </w:r>
      <w:r>
        <w:t xml:space="preserve">”</w:t>
      </w:r>
      <w:r>
        <w:t xml:space="preserve">; lowercase vooee;</w:t>
      </w:r>
      <w:r>
        <w:t xml:space="preserve"> </w:t>
      </w:r>
      <w:r>
        <w:t xml:space="preserve">“</w:t>
      </w:r>
      <w:r>
        <w:t xml:space="preserve">I</w:t>
      </w:r>
      <w:r>
        <w:t xml:space="preserve">”</w:t>
      </w:r>
      <w:r>
        <w:t xml:space="preserve"> </w:t>
      </w:r>
      <w:r>
        <w:t xml:space="preserve">for identity,</w:t>
      </w:r>
      <w:r>
        <w:t xml:space="preserve"> </w:t>
      </w:r>
      <w:r>
        <w:t xml:space="preserve">“</w:t>
      </w:r>
      <w:r>
        <w:t xml:space="preserve">we</w:t>
      </w:r>
      <w:r>
        <w:t xml:space="preserve">”</w:t>
      </w:r>
      <w:r>
        <w:t xml:space="preserve"> </w:t>
      </w:r>
      <w:r>
        <w:t xml:space="preserve">for the collaborative process.</w:t>
      </w:r>
    </w:p>
    <w:bookmarkStart w:id="20" w:name="the-strategic-idea"/>
    <w:p>
      <w:pPr>
        <w:pStyle w:val="Heading2"/>
      </w:pPr>
      <w:r>
        <w:t xml:space="preserve">The strategic idea</w:t>
      </w:r>
    </w:p>
    <w:p>
      <w:pPr>
        <w:pStyle w:val="FirstParagraph"/>
      </w:pPr>
      <w:r>
        <w:t xml:space="preserve">Section proves the model: publish generously, capture emails, sell programs to the people who show up. vooee runs the same engine at human scale, with one difference that matters: everything you publish is something you actually did. The Invisible Office is the proof, the products are the offer, and the Claude 101 webinar is the bridge between them.</w:t>
      </w:r>
    </w:p>
    <w:p>
      <w:pPr>
        <w:pStyle w:val="BodyText"/>
      </w:pPr>
      <w:r>
        <w:rPr>
          <w:bCs/>
          <w:b/>
        </w:rPr>
        <w:t xml:space="preserve">Primary channel:</w:t>
      </w:r>
      <w:r>
        <w:t xml:space="preserve"> </w:t>
      </w:r>
      <w:r>
        <w:t xml:space="preserve">LinkedIn (where AU SMB owners and leaders are).</w:t>
      </w:r>
      <w:r>
        <w:t xml:space="preserve"> </w:t>
      </w:r>
      <w:r>
        <w:rPr>
          <w:bCs/>
          <w:b/>
        </w:rPr>
        <w:t xml:space="preserve">Support:</w:t>
      </w:r>
      <w:r>
        <w:t xml:space="preserve"> </w:t>
      </w:r>
      <w:r>
        <w:t xml:space="preserve">The Practical AI Brief (Brevo list, /brief/) as the owned channel every post feeds.</w:t>
      </w:r>
    </w:p>
    <w:bookmarkEnd w:id="20"/>
    <w:bookmarkStart w:id="25" w:name="four-content-pillars"/>
    <w:p>
      <w:pPr>
        <w:pStyle w:val="Heading2"/>
      </w:pPr>
      <w:r>
        <w:t xml:space="preserve">Four content pillars</w:t>
      </w:r>
    </w:p>
    <w:bookmarkStart w:id="21" w:name="X84cb7b39489c72c188361f0643a15b91a77851e"/>
    <w:p>
      <w:pPr>
        <w:pStyle w:val="Heading3"/>
      </w:pPr>
      <w:r>
        <w:t xml:space="preserve">1. Proof of practice (2 posts/week worth of material)</w:t>
      </w:r>
    </w:p>
    <w:p>
      <w:pPr>
        <w:pStyle w:val="FirstParagraph"/>
      </w:pPr>
      <w:r>
        <w:t xml:space="preserve">What your business did before 7am. Real workflows from the Invisible Office, client work (anonymised, per your case-study rule), things built live in workshops. This is the pillar Section cannot copy; they have courses, you have receipts.</w:t>
      </w:r>
      <w:r>
        <w:t xml:space="preserve"> </w:t>
      </w:r>
      <w:r>
        <w:t xml:space="preserve">Formats: short story post, single screenshot, 60-second screen recording.</w:t>
      </w:r>
    </w:p>
    <w:bookmarkEnd w:id="21"/>
    <w:bookmarkStart w:id="22" w:name="plain-english-teaching-12week"/>
    <w:p>
      <w:pPr>
        <w:pStyle w:val="Heading3"/>
      </w:pPr>
      <w:r>
        <w:t xml:space="preserve">2. Plain-English teaching (1–2/week)</w:t>
      </w:r>
    </w:p>
    <w:p>
      <w:pPr>
        <w:pStyle w:val="FirstParagraph"/>
      </w:pPr>
      <w:r>
        <w:t xml:space="preserve">The AI for Beginners and Claude 101 syllabus, released one idea at a time. Which tasks to hand to AI. How to set up Claude properly. What a Project is. One idea per post, always something the reader can do today.</w:t>
      </w:r>
      <w:r>
        <w:t xml:space="preserve"> </w:t>
      </w:r>
      <w:r>
        <w:t xml:space="preserve">Formats: carousel,</w:t>
      </w:r>
      <w:r>
        <w:t xml:space="preserve"> </w:t>
      </w:r>
      <w:r>
        <w:t xml:space="preserve">“</w:t>
      </w:r>
      <w:r>
        <w:t xml:space="preserve">try this in ten minutes</w:t>
      </w:r>
      <w:r>
        <w:t xml:space="preserve">”</w:t>
      </w:r>
      <w:r>
        <w:t xml:space="preserve"> </w:t>
      </w:r>
      <w:r>
        <w:t xml:space="preserve">post, short how-to.</w:t>
      </w:r>
    </w:p>
    <w:bookmarkEnd w:id="22"/>
    <w:bookmarkStart w:id="23" w:name="evidence-and-benchmarks-1week"/>
    <w:p>
      <w:pPr>
        <w:pStyle w:val="Heading3"/>
      </w:pPr>
      <w:r>
        <w:t xml:space="preserve">3. Evidence and benchmarks (1/week)</w:t>
      </w:r>
    </w:p>
    <w:p>
      <w:pPr>
        <w:pStyle w:val="FirstParagraph"/>
      </w:pPr>
      <w:r>
        <w:t xml:space="preserve">Commentary on published research with an Australian SMB reading. Section’s Proficiency Report (four levels, 80% weekly usage for ROI), the EY Workforce Blueprint stats already on your Sprint page, new reports as they land. Always cited, always ending in a practical takeaway. Positions you as the person who reads this so they don’t have to; this is also the pillar that earns attention from people like Section themselves.</w:t>
      </w:r>
    </w:p>
    <w:bookmarkEnd w:id="23"/>
    <w:bookmarkStart w:id="24" w:name="capability-honestly-1week"/>
    <w:p>
      <w:pPr>
        <w:pStyle w:val="Heading3"/>
      </w:pPr>
      <w:r>
        <w:t xml:space="preserve">4. Capability, honestly (1/week)</w:t>
      </w:r>
    </w:p>
    <w:p>
      <w:pPr>
        <w:pStyle w:val="FirstParagraph"/>
      </w:pPr>
      <w:r>
        <w:t xml:space="preserve">The advisory point of view. Why training fails without change management. Why the answer is sometimes a better process and no new tool. What a 90-day roadmap looks like. Honest-assessment posts (who voice agents are wrong for) trade short-term reach for exactly the trust your buyers need.</w:t>
      </w:r>
    </w:p>
    <w:bookmarkEnd w:id="24"/>
    <w:bookmarkEnd w:id="25"/>
    <w:bookmarkStart w:id="26" w:name="the-funnel-mapped"/>
    <w:p>
      <w:pPr>
        <w:pStyle w:val="Heading2"/>
      </w:pPr>
      <w:r>
        <w:t xml:space="preserve">The funnel, mapped</w:t>
      </w:r>
    </w:p>
    <w:p>
      <w:pPr>
        <w:numPr>
          <w:ilvl w:val="0"/>
          <w:numId w:val="1001"/>
        </w:numPr>
        <w:pStyle w:val="Compact"/>
      </w:pPr>
      <w:r>
        <w:t xml:space="preserve">Pillars 1–3 → free Claude 101 webinar or Scorecard/Ikigai → Practical AI Brief</w:t>
      </w:r>
    </w:p>
    <w:p>
      <w:pPr>
        <w:numPr>
          <w:ilvl w:val="0"/>
          <w:numId w:val="1001"/>
        </w:numPr>
        <w:pStyle w:val="Compact"/>
      </w:pPr>
      <w:r>
        <w:t xml:space="preserve">Pillar 2 → paid workshop ($97 tier when it returns)</w:t>
      </w:r>
    </w:p>
    <w:p>
      <w:pPr>
        <w:numPr>
          <w:ilvl w:val="0"/>
          <w:numId w:val="1001"/>
        </w:numPr>
        <w:pStyle w:val="Compact"/>
      </w:pPr>
      <w:r>
        <w:t xml:space="preserve">Pillar 4 + Sprint stats → AI Enablement Sprint (team buyers)</w:t>
      </w:r>
    </w:p>
    <w:p>
      <w:pPr>
        <w:numPr>
          <w:ilvl w:val="0"/>
          <w:numId w:val="1001"/>
        </w:numPr>
        <w:pStyle w:val="Compact"/>
      </w:pPr>
      <w:r>
        <w:t xml:space="preserve">Pillar 4 + roadmap content → $1,900 Working Session → 90-Day Engagement</w:t>
      </w:r>
      <w:r>
        <w:t xml:space="preserve"> </w:t>
      </w:r>
      <w:r>
        <w:t xml:space="preserve">Every post ends with at most one ask. Most posts ask nothing; roughly one in four points somewhere.</w:t>
      </w:r>
    </w:p>
    <w:bookmarkEnd w:id="26"/>
    <w:bookmarkStart w:id="27" w:name="cadence"/>
    <w:p>
      <w:pPr>
        <w:pStyle w:val="Heading2"/>
      </w:pPr>
      <w:r>
        <w:t xml:space="preserve">Cadence</w:t>
      </w:r>
    </w:p>
    <w:p>
      <w:pPr>
        <w:pStyle w:val="FirstParagraph"/>
      </w:pPr>
      <w:r>
        <w:t xml:space="preserve">Four to five posts a week is the Section-style engine; three is sustainable solo. Suggested week: Mon proof, Wed teaching, Thu evidence or capability, plus one reply-heavy day engaging on others’ posts. The Brief goes out weekly and reuses the best-performing post.</w:t>
      </w:r>
    </w:p>
    <w:bookmarkEnd w:id="27"/>
    <w:bookmarkStart w:id="28" w:name="four-week-starter-calendar"/>
    <w:p>
      <w:pPr>
        <w:pStyle w:val="Heading2"/>
      </w:pPr>
      <w:r>
        <w:t xml:space="preserve">Four-week starter calendar</w:t>
      </w:r>
    </w:p>
    <w:p>
      <w:pPr>
        <w:pStyle w:val="FirstParagraph"/>
      </w:pPr>
      <w:r>
        <w:rPr>
          <w:bCs/>
          <w:b/>
        </w:rPr>
        <w:t xml:space="preserve">Week 1 (launch the drumbeat):</w:t>
      </w:r>
      <w:r>
        <w:t xml:space="preserve"> </w:t>
      </w:r>
      <w:r>
        <w:t xml:space="preserve">Invisible Office morning timeline post ·</w:t>
      </w:r>
      <w:r>
        <w:t xml:space="preserve"> </w:t>
      </w:r>
      <w:r>
        <w:t xml:space="preserve">“</w:t>
      </w:r>
      <w:r>
        <w:t xml:space="preserve">Set Claude up properly in 20 minutes</w:t>
      </w:r>
      <w:r>
        <w:t xml:space="preserve">”</w:t>
      </w:r>
      <w:r>
        <w:t xml:space="preserve"> </w:t>
      </w:r>
      <w:r>
        <w:t xml:space="preserve">teaching post · Proficiency Report commentary with AU take, seeded with the Sprint stat block.</w:t>
      </w:r>
      <w:r>
        <w:t xml:space="preserve"> </w:t>
      </w:r>
      <w:r>
        <w:rPr>
          <w:bCs/>
          <w:b/>
        </w:rPr>
        <w:t xml:space="preserve">Week 2:</w:t>
      </w:r>
      <w:r>
        <w:t xml:space="preserve"> </w:t>
      </w:r>
      <w:r>
        <w:t xml:space="preserve">what a workshop attendee built (with permission) · Claude Projects explainer carousel ·</w:t>
      </w:r>
      <w:r>
        <w:t xml:space="preserve"> </w:t>
      </w:r>
      <w:r>
        <w:t xml:space="preserve">“</w:t>
      </w:r>
      <w:r>
        <w:t xml:space="preserve">Why most AI training doesn’t stick</w:t>
      </w:r>
      <w:r>
        <w:t xml:space="preserve">”</w:t>
      </w:r>
      <w:r>
        <w:t xml:space="preserve"> </w:t>
      </w:r>
      <w:r>
        <w:t xml:space="preserve">(change management POV, Sprint mention).</w:t>
      </w:r>
      <w:r>
        <w:t xml:space="preserve"> </w:t>
      </w:r>
      <w:r>
        <w:rPr>
          <w:bCs/>
          <w:b/>
        </w:rPr>
        <w:t xml:space="preserve">Week 3:</w:t>
      </w:r>
      <w:r>
        <w:t xml:space="preserve"> </w:t>
      </w:r>
      <w:r>
        <w:t xml:space="preserve">Claude 101 webinar announcement wrapped in a teaching post · voice agent honest-assessment post · EY stats post (</w:t>
      </w:r>
      <w:r>
        <w:t xml:space="preserve">“</w:t>
      </w:r>
      <w:r>
        <w:t xml:space="preserve">2 in 3 use AI, 5% are enabled, that gap is the whole story</w:t>
      </w:r>
      <w:r>
        <w:t xml:space="preserve">”</w:t>
      </w:r>
      <w:r>
        <w:t xml:space="preserve">).</w:t>
      </w:r>
      <w:r>
        <w:t xml:space="preserve"> </w:t>
      </w:r>
      <w:r>
        <w:rPr>
          <w:bCs/>
          <w:b/>
        </w:rPr>
        <w:t xml:space="preserve">Week 4:</w:t>
      </w:r>
      <w:r>
        <w:t xml:space="preserve"> </w:t>
      </w:r>
      <w:r>
        <w:t xml:space="preserve">webinar recap + replay + offer (the 9 June follow-up playbook) · 90-day roadmap anatomy post (</w:t>
      </w:r>
      <w:r>
        <w:t xml:space="preserve">“</w:t>
      </w:r>
      <w:r>
        <w:t xml:space="preserve">what to do, in what order, what to leave alone</w:t>
      </w:r>
      <w:r>
        <w:t xml:space="preserve">”</w:t>
      </w:r>
      <w:r>
        <w:t xml:space="preserve">) · month-one reflection post.</w:t>
      </w:r>
    </w:p>
    <w:bookmarkEnd w:id="28"/>
    <w:bookmarkStart w:id="29" w:name="three-example-posts-in-voice"/>
    <w:p>
      <w:pPr>
        <w:pStyle w:val="Heading2"/>
      </w:pPr>
      <w:r>
        <w:t xml:space="preserve">Three example posts, in voice</w:t>
      </w:r>
    </w:p>
    <w:p>
      <w:pPr>
        <w:pStyle w:val="FirstParagraph"/>
      </w:pPr>
      <w:r>
        <w:rPr>
          <w:bCs/>
          <w:b/>
        </w:rPr>
        <w:t xml:space="preserve">Proof (pillar 1):</w:t>
      </w:r>
      <w:r>
        <w:t xml:space="preserve"> </w:t>
      </w:r>
      <w:r>
        <w:t xml:space="preserve">“</w:t>
      </w:r>
      <w:r>
        <w:t xml:space="preserve">Before I made coffee this morning, my business had already read the AI news, written me a briefing, checked my pipeline and drafted two replies. I don’t have a team. I have an operating system built on Claude. Here’s the 7am timeline, step by step.</w:t>
      </w:r>
      <w:r>
        <w:t xml:space="preserve">”</w:t>
      </w:r>
    </w:p>
    <w:p>
      <w:pPr>
        <w:pStyle w:val="BodyText"/>
      </w:pPr>
      <w:r>
        <w:rPr>
          <w:bCs/>
          <w:b/>
        </w:rPr>
        <w:t xml:space="preserve">Evidence (pillar 3):</w:t>
      </w:r>
      <w:r>
        <w:t xml:space="preserve"> </w:t>
      </w:r>
      <w:r>
        <w:t xml:space="preserve">“</w:t>
      </w:r>
      <w:r>
        <w:t xml:space="preserve">Section’s latest research says a company only sees real return when about 80% of its people use AI deeply every week. In Australia, 35% of workers have had any formal AI training at all. That gap is where most</w:t>
      </w:r>
      <w:r>
        <w:t xml:space="preserve"> </w:t>
      </w:r>
      <w:r>
        <w:t xml:space="preserve">‘</w:t>
      </w:r>
      <w:r>
        <w:t xml:space="preserve">AI didn’t work for us</w:t>
      </w:r>
      <w:r>
        <w:t xml:space="preserve">’</w:t>
      </w:r>
      <w:r>
        <w:t xml:space="preserve"> </w:t>
      </w:r>
      <w:r>
        <w:t xml:space="preserve">stories come from. Training one enthusiast was never going to move the number.</w:t>
      </w:r>
      <w:r>
        <w:t xml:space="preserve">”</w:t>
      </w:r>
    </w:p>
    <w:p>
      <w:pPr>
        <w:pStyle w:val="BodyText"/>
      </w:pPr>
      <w:r>
        <w:rPr>
          <w:bCs/>
          <w:b/>
        </w:rPr>
        <w:t xml:space="preserve">Capability (pillar 4):</w:t>
      </w:r>
      <w:r>
        <w:t xml:space="preserve"> </w:t>
      </w:r>
      <w:r>
        <w:t xml:space="preserve">“</w:t>
      </w:r>
      <w:r>
        <w:t xml:space="preserve">A $1,900 working session sometimes ends with me telling a business to buy nothing. A roadmap that says</w:t>
      </w:r>
      <w:r>
        <w:t xml:space="preserve"> </w:t>
      </w:r>
      <w:r>
        <w:t xml:space="preserve">‘</w:t>
      </w:r>
      <w:r>
        <w:t xml:space="preserve">leave this alone</w:t>
      </w:r>
      <w:r>
        <w:t xml:space="preserve">’</w:t>
      </w:r>
      <w:r>
        <w:t xml:space="preserve"> </w:t>
      </w:r>
      <w:r>
        <w:t xml:space="preserve">is still a roadmap. It might be the most useful line on the page.</w:t>
      </w:r>
      <w:r>
        <w:t xml:space="preserve">”</w:t>
      </w:r>
    </w:p>
    <w:bookmarkEnd w:id="29"/>
    <w:bookmarkStart w:id="30" w:name="measurement-kept-simple"/>
    <w:p>
      <w:pPr>
        <w:pStyle w:val="Heading2"/>
      </w:pPr>
      <w:r>
        <w:t xml:space="preserve">Measurement, kept simple</w:t>
      </w:r>
    </w:p>
    <w:p>
      <w:pPr>
        <w:pStyle w:val="FirstParagraph"/>
      </w:pPr>
      <w:r>
        <w:t xml:space="preserve">Watch three numbers monthly: Brief subscribers, webinar registrations, enquiries mentioning a post. Impressions are weather; those three are the crop. Review pillar mix after eight weeks and double down on whichever pillar produces enquiries, which for accounts like yours is usually proof of practice.</w:t>
      </w:r>
    </w:p>
    <w:bookmarkEnd w:id="30"/>
    <w:bookmarkStart w:id="31" w:name="boundary"/>
    <w:p>
      <w:pPr>
        <w:pStyle w:val="Heading2"/>
      </w:pPr>
      <w:r>
        <w:t xml:space="preserve">Boundary</w:t>
      </w:r>
    </w:p>
    <w:p>
      <w:pPr>
        <w:pStyle w:val="FirstParagraph"/>
      </w:pPr>
      <w:r>
        <w:t xml:space="preserve">Never republish Section’s frameworks, slides or diagrams as vooee content. Cite their published stats with their name attached. Your IP (Ikigai, the Invisible Office, the 4D Framework, the Sprint shape) is the content; their research is supporting evidence only.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2026-07-22T20:00:18Z</dcterms:created>
  <dcterms:modified xsi:type="dcterms:W3CDTF">2026-07-22T20:00:18Z</dcterms:modified>
</cp:coreProperties>
</file>

<file path=docProps/custom.xml><?xml version="1.0" encoding="utf-8"?>
<Properties xmlns="http://schemas.openxmlformats.org/officeDocument/2006/custom-properties" xmlns:vt="http://schemas.openxmlformats.org/officeDocument/2006/docPropsVTypes"/>
</file>