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d26ffab392d4ba5dfe7ab1589948c4d4604a6a"/>
    <w:p>
      <w:pPr>
        <w:pStyle w:val="Heading1"/>
      </w:pPr>
      <w:r>
        <w:t xml:space="preserve">Could you launch Section in Australia? An honest assessment</w:t>
      </w:r>
    </w:p>
    <w:p>
      <w:pPr>
        <w:pStyle w:val="FirstParagraph"/>
      </w:pPr>
      <w:r>
        <w:t xml:space="preserve">Compiled 22 July 2026.</w:t>
      </w:r>
    </w:p>
    <w:bookmarkStart w:id="20" w:name="who-they-are"/>
    <w:p>
      <w:pPr>
        <w:pStyle w:val="Heading2"/>
      </w:pPr>
      <w:r>
        <w:t xml:space="preserve">Who they are</w:t>
      </w:r>
    </w:p>
    <w:p>
      <w:pPr>
        <w:pStyle w:val="FirstParagraph"/>
      </w:pPr>
      <w:r>
        <w:t xml:space="preserve">Section (sectionai.com, formerly Section4/Section School), New York based, founded around Scott Galloway, led by CEO Greg Shove. They sell enterprise AI upskilling: cohort courses, a proficiency benchmark, an AI adoption platform (ProfAI), and bootcamps like the Head of AI program. Their engine is free star-studded events feeding a B2B sales motion. Their stated ambition has been explicitly about scale (</w:t>
      </w:r>
      <w:r>
        <w:t xml:space="preserve">“</w:t>
      </w:r>
      <w:r>
        <w:t xml:space="preserve">100,000 students into the AI class</w:t>
      </w:r>
      <w:r>
        <w:t xml:space="preserve">”</w:t>
      </w:r>
      <w:r>
        <w:t xml:space="preserve">).</w:t>
      </w:r>
    </w:p>
    <w:bookmarkEnd w:id="20"/>
    <w:bookmarkStart w:id="21" w:name="the-case-for"/>
    <w:p>
      <w:pPr>
        <w:pStyle w:val="Heading2"/>
      </w:pPr>
      <w:r>
        <w:t xml:space="preserve">The case for</w:t>
      </w:r>
    </w:p>
    <w:p>
      <w:pPr>
        <w:numPr>
          <w:ilvl w:val="0"/>
          <w:numId w:val="1001"/>
        </w:numPr>
        <w:pStyle w:val="Compact"/>
      </w:pPr>
      <w:r>
        <w:t xml:space="preserve">They are US/EU-centric with global demand; APAC time zones genuinely hurt live-cohort businesses. A local delivery partner solves a real operational problem.</w:t>
      </w:r>
    </w:p>
    <w:p>
      <w:pPr>
        <w:numPr>
          <w:ilvl w:val="0"/>
          <w:numId w:val="1001"/>
        </w:numPr>
        <w:pStyle w:val="Compact"/>
      </w:pPr>
      <w:r>
        <w:t xml:space="preserve">Australian enterprise demand is documented (the same EY data you already cite). No dominant local AI-upskilling brand has emerged yet.</w:t>
      </w:r>
    </w:p>
    <w:p>
      <w:pPr>
        <w:numPr>
          <w:ilvl w:val="0"/>
          <w:numId w:val="1001"/>
        </w:numPr>
        <w:pStyle w:val="Compact"/>
      </w:pPr>
      <w:r>
        <w:t xml:space="preserve">Your profile fits the brief unusually well: led AI partnerships at Amazon Alexa AU/NZ, MIT agentic AI program, AWS accreditation, a working AI practice, and you can actually teach. That is a rare combination for a country hire.</w:t>
      </w:r>
    </w:p>
    <w:bookmarkEnd w:id="21"/>
    <w:bookmarkStart w:id="22" w:name="the-case-against-honestly"/>
    <w:p>
      <w:pPr>
        <w:pStyle w:val="Heading2"/>
      </w:pPr>
      <w:r>
        <w:t xml:space="preserve">The case against, honestly</w:t>
      </w:r>
    </w:p>
    <w:p>
      <w:pPr>
        <w:numPr>
          <w:ilvl w:val="0"/>
          <w:numId w:val="1002"/>
        </w:numPr>
        <w:pStyle w:val="Compact"/>
      </w:pPr>
      <w:r>
        <w:t xml:space="preserve">Section’s model is software plus content at scale. Companies like that open sales offices, and mostly they just sell remotely into new markets. A</w:t>
      </w:r>
      <w:r>
        <w:t xml:space="preserve"> </w:t>
      </w:r>
      <w:r>
        <w:t xml:space="preserve">“</w:t>
      </w:r>
      <w:r>
        <w:t xml:space="preserve">country launcher</w:t>
      </w:r>
      <w:r>
        <w:t xml:space="preserve">”</w:t>
      </w:r>
      <w:r>
        <w:t xml:space="preserve"> </w:t>
      </w:r>
      <w:r>
        <w:t xml:space="preserve">role may simply never exist; if it does, it is a sales leadership job with a quota, which is a different life from the one vooee is building.</w:t>
      </w:r>
    </w:p>
    <w:p>
      <w:pPr>
        <w:numPr>
          <w:ilvl w:val="0"/>
          <w:numId w:val="1002"/>
        </w:numPr>
        <w:pStyle w:val="Compact"/>
      </w:pPr>
      <w:r>
        <w:t xml:space="preserve">Taking their flag makes you the local face of an enterprise ChatGPT/Copilot brand while vooee’s differentiation is SMB, hands-on, Claude-native. It could eat your calendar, your positioning, and your two fractional seats.</w:t>
      </w:r>
    </w:p>
    <w:p>
      <w:pPr>
        <w:numPr>
          <w:ilvl w:val="0"/>
          <w:numId w:val="1002"/>
        </w:numPr>
        <w:pStyle w:val="Compact"/>
      </w:pPr>
      <w:r>
        <w:t xml:space="preserve">You would be building their brand equity in AU, not yours, at exactly the moment vooee’s ladder has started working.</w:t>
      </w:r>
    </w:p>
    <w:bookmarkEnd w:id="22"/>
    <w:bookmarkStart w:id="23" w:name="the-middle-path-recommended"/>
    <w:p>
      <w:pPr>
        <w:pStyle w:val="Heading2"/>
      </w:pPr>
      <w:r>
        <w:t xml:space="preserve">The middle path (recommended)</w:t>
      </w:r>
    </w:p>
    <w:p>
      <w:pPr>
        <w:pStyle w:val="FirstParagraph"/>
      </w:pPr>
      <w:r>
        <w:t xml:space="preserve">Aim for partnership, not employment. Three rungs, lowest risk first: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Become a visible, useful peer.</w:t>
      </w:r>
      <w:r>
        <w:t xml:space="preserve"> </w:t>
      </w:r>
      <w:r>
        <w:t xml:space="preserve">Download and genuinely engage with their research; publish the AU SMB commentary they cannot write (pillar 3 of the social strategy). Two or three sharp, cited posts that tag their research will get you on their radar the honest way.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Bring them AU data.</w:t>
      </w:r>
      <w:r>
        <w:t xml:space="preserve"> </w:t>
      </w:r>
      <w:r>
        <w:t xml:space="preserve">Once the Sprint proficiency pulse (doc 02) has a few cohorts of Australian numbers, you hold something their research team wants. That is a warm door-opener to a genuine conversation.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Propose a scoped pilot.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APAC delivery partner</w:t>
      </w:r>
      <w:r>
        <w:t xml:space="preserve">”</w:t>
      </w:r>
      <w:r>
        <w:t xml:space="preserve"> </w:t>
      </w:r>
      <w:r>
        <w:t xml:space="preserve">or licensed-facilitator arrangement for one cohort: they keep the brand and curriculum, you deliver in AU hours and keep vooee. If that works, a bigger conversation about the market happens with you already inside it.</w:t>
      </w:r>
    </w:p>
    <w:bookmarkEnd w:id="23"/>
    <w:bookmarkStart w:id="24" w:name="if-you-still-want-to-pitch-the-office"/>
    <w:p>
      <w:pPr>
        <w:pStyle w:val="Heading2"/>
      </w:pPr>
      <w:r>
        <w:t xml:space="preserve">If you still want to pitch the office</w:t>
      </w:r>
    </w:p>
    <w:p>
      <w:pPr>
        <w:pStyle w:val="FirstParagraph"/>
      </w:pPr>
      <w:r>
        <w:t xml:space="preserve">The note to send is short, and it is to Greg Shove, not to a careers page. Shape: one line on who you are (Alexa AU/NZ partnerships, MIT agentic AI, running an AI advisory in Sydney), one line of evidence you know their model (reference the Proficiency Report finding, with a view on how AU differs), one ask (</w:t>
      </w:r>
      <w:r>
        <w:t xml:space="preserve">“</w:t>
      </w:r>
      <w:r>
        <w:t xml:space="preserve">if APAC is on the roadmap in the next year, I’d like to be in that conversation</w:t>
      </w:r>
      <w:r>
        <w:t xml:space="preserve">”</w:t>
      </w:r>
      <w:r>
        <w:t xml:space="preserve">). No CV, no deck. I can draft this when you want it.</w:t>
      </w:r>
    </w:p>
    <w:bookmarkEnd w:id="24"/>
    <w:bookmarkStart w:id="2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Plausible, but not as a cold</w:t>
      </w:r>
      <w:r>
        <w:t xml:space="preserve"> </w:t>
      </w:r>
      <w:r>
        <w:t xml:space="preserve">“</w:t>
      </w:r>
      <w:r>
        <w:t xml:space="preserve">let me open your office</w:t>
      </w:r>
      <w:r>
        <w:t xml:space="preserve">”</w:t>
      </w:r>
      <w:r>
        <w:t xml:space="preserve"> </w:t>
      </w:r>
      <w:r>
        <w:t xml:space="preserve">pitch, and not worth trading vooee’s momentum for a quota. Work the peer-then-partner path; it costs you three LinkedIn posts and some Sprint data you should be collecting anyway, and it leaves every door open.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2026-07-22T20:00:18Z</dcterms:created>
  <dcterms:modified xsi:type="dcterms:W3CDTF">2026-07-22T20:00:18Z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