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02a5cd9c30b5174448d4f6516fcb2196af78f9"/>
    <w:p>
      <w:pPr>
        <w:pStyle w:val="Heading1"/>
      </w:pPr>
      <w:r>
        <w:t xml:space="preserve">The 1-Year AI Enablement Checklist → vooee alignment</w:t>
      </w:r>
    </w:p>
    <w:p>
      <w:pPr>
        <w:pStyle w:val="FirstParagraph"/>
      </w:pPr>
      <w:r>
        <w:t xml:space="preserve">Added 22 July 2026 after reading the full document (7 pages, in</w:t>
      </w:r>
      <w:r>
        <w:t xml:space="preserve"> </w:t>
      </w:r>
      <w:r>
        <w:rPr>
          <w:rStyle w:val="VerbatimChar"/>
        </w:rPr>
        <w:t xml:space="preserve">downloads/</w:t>
      </w:r>
      <w:r>
        <w:t xml:space="preserve">). This is the single most useful Section asset for vooee’s ladder, and it names Claude as one of their two favourite LLMs, which is direct third-party cover for a Claude-first practice.</w:t>
      </w:r>
    </w:p>
    <w:bookmarkStart w:id="20" w:name="whats-in-it"/>
    <w:p>
      <w:pPr>
        <w:pStyle w:val="Heading2"/>
      </w:pPr>
      <w:r>
        <w:t xml:space="preserve">What’s in it</w:t>
      </w:r>
    </w:p>
    <w:p>
      <w:pPr>
        <w:pStyle w:val="FirstParagraph"/>
      </w:pPr>
      <w:r>
        <w:t xml:space="preserve">A 30/90/365 roadmap</w:t>
      </w:r>
      <w:r>
        <w:t xml:space="preserve"> </w:t>
      </w:r>
      <w:r>
        <w:t xml:space="preserve">“</w:t>
      </w:r>
      <w:r>
        <w:t xml:space="preserve">from</w:t>
      </w:r>
      <w:r>
        <w:t xml:space="preserve"> </w:t>
      </w:r>
      <w:r>
        <w:t xml:space="preserve">‘</w:t>
      </w:r>
      <w:r>
        <w:t xml:space="preserve">we need an AI strategy</w:t>
      </w:r>
      <w:r>
        <w:t xml:space="preserve">’</w:t>
      </w:r>
      <w:r>
        <w:t xml:space="preserve"> </w:t>
      </w:r>
      <w:r>
        <w:t xml:space="preserve">to measurable AI adoption</w:t>
      </w:r>
      <w:r>
        <w:t xml:space="preserve">”</w:t>
      </w:r>
      <w:r>
        <w:t xml:space="preserve">, aimed at Heads of AI. Three stages, each with a goal, success criteria, a six-item checklist, and a done-well case study:</w:t>
      </w:r>
    </w:p>
    <w:p>
      <w:pPr>
        <w:numPr>
          <w:ilvl w:val="0"/>
          <w:numId w:val="1001"/>
        </w:numPr>
        <w:pStyle w:val="Compact"/>
      </w:pPr>
      <w:r>
        <w:rPr>
          <w:bCs/>
          <w:b/>
        </w:rPr>
        <w:t xml:space="preserve">First 30 days — Set the Strategic Foundation.</w:t>
      </w:r>
      <w:r>
        <w:t xml:space="preserve"> </w:t>
      </w:r>
      <w:r>
        <w:t xml:space="preserve">Goal: radical leadership alignment on the</w:t>
      </w:r>
      <w:r>
        <w:t xml:space="preserve"> </w:t>
      </w:r>
      <w:r>
        <w:t xml:space="preserve">“</w:t>
      </w:r>
      <w:r>
        <w:t xml:space="preserve">why of AI</w:t>
      </w:r>
      <w:r>
        <w:t xml:space="preserve">”</w:t>
      </w:r>
      <w:r>
        <w:t xml:space="preserve">. Checklist: build the AI executive team; write an AI manifesto; align ambition and speed; choose tools (</w:t>
      </w:r>
      <w:r>
        <w:t xml:space="preserve">“</w:t>
      </w:r>
      <w:r>
        <w:t xml:space="preserve">our favorites are Claude and ChatGPT</w:t>
      </w:r>
      <w:r>
        <w:t xml:space="preserve">”</w:t>
      </w:r>
      <w:r>
        <w:t xml:space="preserve">); commit to Cut vs. Create (efficiency or growth); fund it properly. Case: Sidearm Sports (president got fluent first, framed the why for careers and the company).</w:t>
      </w:r>
    </w:p>
    <w:p>
      <w:pPr>
        <w:numPr>
          <w:ilvl w:val="0"/>
          <w:numId w:val="1001"/>
        </w:numPr>
        <w:pStyle w:val="Compact"/>
      </w:pPr>
      <w:r>
        <w:rPr>
          <w:bCs/>
          <w:b/>
        </w:rPr>
        <w:t xml:space="preserve">First 90 days — Activate the Transformation.</w:t>
      </w:r>
      <w:r>
        <w:t xml:space="preserve"> </w:t>
      </w:r>
      <w:r>
        <w:t xml:space="preserve">Goal: usage baseline established, managers empowered. Checklist: governance and responsible-use guardrails; baseline proficiency and usage; LLM kickoff launch; head-of-AI metrics; repeated communication and easy access; hands-on coaching for VPs and managers. Case: Autodesk (61% confident users, yet 80% couldn’t tie AI to their role; diagnostics before training).</w:t>
      </w:r>
    </w:p>
    <w:p>
      <w:pPr>
        <w:numPr>
          <w:ilvl w:val="0"/>
          <w:numId w:val="1001"/>
        </w:numPr>
        <w:pStyle w:val="Compact"/>
      </w:pPr>
      <w:r>
        <w:rPr>
          <w:bCs/>
          <w:b/>
        </w:rPr>
        <w:t xml:space="preserve">Next 365 days — Drive Sustained AI Use.</w:t>
      </w:r>
      <w:r>
        <w:t xml:space="preserve"> </w:t>
      </w:r>
      <w:r>
        <w:t xml:space="preserve">Goal: AI embedded in workflows. Checklist: role-specific coaching; AI champions; quarterly hackathons; workflow automation pilots and an internal use-case library; weekly lunch-and-learns; ongoing usage and ROI tracking. Case: Horizon Media (calendar blocks, dashboards, rewards; the president earned his own certification publicly).</w:t>
      </w:r>
    </w:p>
    <w:p>
      <w:pPr>
        <w:pStyle w:val="FirstParagraph"/>
      </w:pPr>
      <w:r>
        <w:rPr>
          <w:bCs/>
          <w:b/>
        </w:rPr>
        <w:t xml:space="preserve">Opening stats:</w:t>
      </w:r>
      <w:r>
        <w:t xml:space="preserve"> </w:t>
      </w:r>
      <w:r>
        <w:t xml:space="preserve">52% of employees feel anxious or overwhelmed by AI; 85% use AI only as a search or summarisation tool; 3% are truly AI proficient.</w:t>
      </w:r>
      <w:r>
        <w:t xml:space="preserve"> </w:t>
      </w:r>
      <w:r>
        <w:rPr>
          <w:bCs/>
          <w:b/>
        </w:rPr>
        <w:t xml:space="preserve">Benchmarks:</w:t>
      </w:r>
      <w:r>
        <w:t xml:space="preserve"> </w:t>
      </w:r>
      <w:r>
        <w:t xml:space="preserve">80% weekly (then daily) active users; 80% certified proficient with 20% experts; 5% of workforce as champions; at least 1:1 agents-to-employees, advanced orgs heading to 3:1.</w:t>
      </w:r>
    </w:p>
    <w:bookmarkEnd w:id="20"/>
    <w:bookmarkStart w:id="21" w:name="how-it-maps-to-the-ladder"/>
    <w:p>
      <w:pPr>
        <w:pStyle w:val="Heading2"/>
      </w:pPr>
      <w:r>
        <w:t xml:space="preserve">How it maps to the ladder</w:t>
      </w:r>
    </w:p>
    <w:p>
      <w:pPr>
        <w:pStyle w:val="FirstParagraph"/>
      </w:pPr>
      <w:r>
        <w:t xml:space="preserve">Their three stages are your three advisory rungs, almost line for 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 stage</w:t>
            </w:r>
          </w:p>
        </w:tc>
        <w:tc>
          <w:tcPr/>
          <w:p>
            <w:pPr>
              <w:pStyle w:val="Compact"/>
              <w:jc w:val="left"/>
            </w:pPr>
            <w:r>
              <w:t xml:space="preserve">vooee product</w:t>
            </w:r>
          </w:p>
        </w:tc>
        <w:tc>
          <w:tcPr/>
          <w:p>
            <w:pPr>
              <w:pStyle w:val="Compact"/>
              <w:jc w:val="left"/>
            </w:pPr>
            <w:r>
              <w:t xml:space="preserve">The overlap</w:t>
            </w:r>
          </w:p>
        </w:tc>
      </w:tr>
      <w:tr>
        <w:tc>
          <w:tcPr/>
          <w:p>
            <w:pPr>
              <w:pStyle w:val="Compact"/>
              <w:jc w:val="left"/>
            </w:pPr>
            <w:r>
              <w:t xml:space="preserve">First 30 days: strategic foundation</w:t>
            </w:r>
          </w:p>
        </w:tc>
        <w:tc>
          <w:tcPr/>
          <w:p>
            <w:pPr>
              <w:pStyle w:val="Compact"/>
              <w:jc w:val="left"/>
            </w:pPr>
            <w:r>
              <w:t xml:space="preserve">AI Working Session, $1,900</w:t>
            </w:r>
          </w:p>
        </w:tc>
        <w:tc>
          <w:tcPr/>
          <w:p>
            <w:pPr>
              <w:pStyle w:val="Compact"/>
              <w:jc w:val="left"/>
            </w:pPr>
            <w:r>
              <w:t xml:space="preserve">Leadership alignment, ambition and speed, tool choice,</w:t>
            </w:r>
            <w:r>
              <w:t xml:space="preserve"> </w:t>
            </w:r>
            <w:r>
              <w:t xml:space="preserve">“</w:t>
            </w:r>
            <w:r>
              <w:t xml:space="preserve">why of AI</w:t>
            </w:r>
            <w:r>
              <w:t xml:space="preserve">”</w:t>
            </w:r>
            <w:r>
              <w:t xml:space="preserve"> </w:t>
            </w:r>
            <w:r>
              <w:t xml:space="preserve">→ your half-day with leadership producing the written 90-day roadmap (</w:t>
            </w:r>
            <w:r>
              <w:t xml:space="preserve">“</w:t>
            </w:r>
            <w:r>
              <w:t xml:space="preserve">what to do, in what order, what to leave alone</w:t>
            </w:r>
            <w:r>
              <w:t xml:space="preserve">”</w:t>
            </w:r>
            <w:r>
              <w:t xml:space="preserve">)</w:t>
            </w:r>
          </w:p>
        </w:tc>
      </w:tr>
      <w:tr>
        <w:tc>
          <w:tcPr/>
          <w:p>
            <w:pPr>
              <w:pStyle w:val="Compact"/>
              <w:jc w:val="left"/>
            </w:pPr>
            <w:r>
              <w:t xml:space="preserve">First 90 days: activate</w:t>
            </w:r>
          </w:p>
        </w:tc>
        <w:tc>
          <w:tcPr/>
          <w:p>
            <w:pPr>
              <w:pStyle w:val="Compact"/>
              <w:jc w:val="left"/>
            </w:pPr>
            <w:r>
              <w:t xml:space="preserve">90-Day Engagement, $15,000</w:t>
            </w:r>
          </w:p>
        </w:tc>
        <w:tc>
          <w:tcPr/>
          <w:p>
            <w:pPr>
              <w:pStyle w:val="Compact"/>
              <w:jc w:val="left"/>
            </w:pPr>
            <w:r>
              <w:t xml:space="preserve">Baseline, governance, kickoff, manager coaching, metrics → your</w:t>
            </w:r>
            <w:r>
              <w:t xml:space="preserve"> </w:t>
            </w:r>
            <w:r>
              <w:t xml:space="preserve">“</w:t>
            </w:r>
            <w:r>
              <w:t xml:space="preserve">we take the roadmap and build it together: systems, skills, habits</w:t>
            </w:r>
            <w:r>
              <w:t xml:space="preserve">”</w:t>
            </w:r>
          </w:p>
        </w:tc>
      </w:tr>
      <w:tr>
        <w:tc>
          <w:tcPr/>
          <w:p>
            <w:pPr>
              <w:pStyle w:val="Compact"/>
              <w:jc w:val="left"/>
            </w:pPr>
            <w:r>
              <w:t xml:space="preserve">Next 365 days: sustain</w:t>
            </w:r>
          </w:p>
        </w:tc>
        <w:tc>
          <w:tcPr/>
          <w:p>
            <w:pPr>
              <w:pStyle w:val="Compact"/>
              <w:jc w:val="left"/>
            </w:pPr>
            <w:r>
              <w:t xml:space="preserve">Fractional AI Advisor, $8,500/mo</w:t>
            </w:r>
          </w:p>
        </w:tc>
        <w:tc>
          <w:tcPr/>
          <w:p>
            <w:pPr>
              <w:pStyle w:val="Compact"/>
              <w:jc w:val="left"/>
            </w:pPr>
            <w:r>
              <w:t xml:space="preserve">Champions, pilots, use-case library, ongoing ROI tracking → your seat at the table while everything keeps changing</w:t>
            </w:r>
          </w:p>
        </w:tc>
      </w:tr>
    </w:tbl>
    <w:p>
      <w:pPr>
        <w:pStyle w:val="BodyText"/>
      </w:pPr>
      <w:r>
        <w:t xml:space="preserve">The Sprint slots in as their</w:t>
      </w:r>
      <w:r>
        <w:t xml:space="preserve"> </w:t>
      </w:r>
      <w:r>
        <w:t xml:space="preserve">“</w:t>
      </w:r>
      <w:r>
        <w:t xml:space="preserve">activate</w:t>
      </w:r>
      <w:r>
        <w:t xml:space="preserve">”</w:t>
      </w:r>
      <w:r>
        <w:t xml:space="preserve"> </w:t>
      </w:r>
      <w:r>
        <w:t xml:space="preserve">stage for teams: baseline (week 1 foundations), manager/leadership involvement (pre-sprint conversation, post-sprint report), champions (the cohort of five), use-case library (the projects that stay behind).</w:t>
      </w:r>
    </w:p>
    <w:bookmarkEnd w:id="21"/>
    <w:bookmarkStart w:id="22" w:name="five-specific-uses"/>
    <w:p>
      <w:pPr>
        <w:pStyle w:val="Heading2"/>
      </w:pPr>
      <w:r>
        <w:t xml:space="preserve">Five specific uses</w:t>
      </w:r>
    </w:p>
    <w:p>
      <w:pPr>
        <w:numPr>
          <w:ilvl w:val="0"/>
          <w:numId w:val="1002"/>
        </w:numPr>
        <w:pStyle w:val="Compact"/>
      </w:pPr>
      <w:r>
        <w:rPr>
          <w:bCs/>
          <w:b/>
        </w:rPr>
        <w:t xml:space="preserve">Sales narrative for the 90-Day Engagement.</w:t>
      </w:r>
      <w:r>
        <w:t xml:space="preserve"> </w:t>
      </w:r>
      <w:r>
        <w:t xml:space="preserve">“</w:t>
      </w:r>
      <w:r>
        <w:t xml:space="preserve">Section tells enterprises this takes a Head of AI and a year. For a small business, the first two stages are a half-day session and ninety days of building. Same sequence, sized for your business.</w:t>
      </w:r>
      <w:r>
        <w:t xml:space="preserve">”</w:t>
      </w:r>
      <w:r>
        <w:t xml:space="preserve"> </w:t>
      </w:r>
      <w:r>
        <w:t xml:space="preserve">The checklist becomes the neutral evidence that your $1,900 → $15,000 sequence is the orthodox path, not an upsell.</w:t>
      </w:r>
    </w:p>
    <w:p>
      <w:pPr>
        <w:numPr>
          <w:ilvl w:val="0"/>
          <w:numId w:val="1002"/>
        </w:numPr>
        <w:pStyle w:val="Compact"/>
      </w:pPr>
      <w:r>
        <w:rPr>
          <w:bCs/>
          <w:b/>
        </w:rPr>
        <w:t xml:space="preserve">The SMB translation is your content, not theirs.</w:t>
      </w:r>
      <w:r>
        <w:t xml:space="preserve"> </w:t>
      </w:r>
      <w:r>
        <w:t xml:space="preserve">Their checklist assumes a Head of AI, a CIO, an exec team. A vooee piece called something like</w:t>
      </w:r>
      <w:r>
        <w:t xml:space="preserve"> </w:t>
      </w:r>
      <w:r>
        <w:t xml:space="preserve">“</w:t>
      </w:r>
      <w:r>
        <w:t xml:space="preserve">The 1-year checklist, sized for a 12-person business</w:t>
      </w:r>
      <w:r>
        <w:t xml:space="preserve">”</w:t>
      </w:r>
      <w:r>
        <w:t xml:space="preserve"> </w:t>
      </w:r>
      <w:r>
        <w:t xml:space="preserve">(owner wears the Head of AI hat, manifesto becomes a one-page AI position, champions become your Sprint cohort, lunch-and-learns become a monthly show-and-tell) is original work citing theirs, and a natural lead magnet for the Sprint. This slots straight into pillar 3 of the social strategy and is the first post I’d write.</w:t>
      </w:r>
    </w:p>
    <w:p>
      <w:pPr>
        <w:numPr>
          <w:ilvl w:val="0"/>
          <w:numId w:val="1002"/>
        </w:numPr>
        <w:pStyle w:val="Compact"/>
      </w:pPr>
      <w:r>
        <w:rPr>
          <w:bCs/>
          <w:b/>
        </w:rPr>
        <w:t xml:space="preserve">Adopt their benchmark set for the Sprint report.</w:t>
      </w:r>
      <w:r>
        <w:t xml:space="preserve"> </w:t>
      </w:r>
      <w:r>
        <w:t xml:space="preserve">The post-sprint leadership report can score the team against the four benchmarks (weekly active use, proficiency depth, champions identified, automations running). Cite Section for the enterprise numbers, report the cohort’s own. This is the proficiency pulse from doc 02, now with concrete metrics to borrow.</w:t>
      </w:r>
    </w:p>
    <w:p>
      <w:pPr>
        <w:numPr>
          <w:ilvl w:val="0"/>
          <w:numId w:val="1002"/>
        </w:numPr>
        <w:pStyle w:val="Compact"/>
      </w:pPr>
      <w:r>
        <w:rPr>
          <w:bCs/>
          <w:b/>
        </w:rPr>
        <w:t xml:space="preserve">Claude validation line.</w:t>
      </w:r>
      <w:r>
        <w:t xml:space="preserve"> </w:t>
      </w:r>
      <w:r>
        <w:t xml:space="preserve">Their tool-choice checklist item literally says their favourites are Claude and ChatGPT. Use with attribution whenever a client asks</w:t>
      </w:r>
      <w:r>
        <w:t xml:space="preserve"> </w:t>
      </w:r>
      <w:r>
        <w:t xml:space="preserve">“</w:t>
      </w:r>
      <w:r>
        <w:t xml:space="preserve">why Claude?</w:t>
      </w:r>
      <w:r>
        <w:t xml:space="preserve">”</w:t>
      </w:r>
      <w:r>
        <w:t xml:space="preserve">: even the biggest enterprise AI trainer in the US shortlists it.</w:t>
      </w:r>
    </w:p>
    <w:p>
      <w:pPr>
        <w:numPr>
          <w:ilvl w:val="0"/>
          <w:numId w:val="1002"/>
        </w:numPr>
        <w:pStyle w:val="Compact"/>
      </w:pPr>
      <w:r>
        <w:rPr>
          <w:bCs/>
          <w:b/>
        </w:rPr>
        <w:t xml:space="preserve">The anxiety stat opens the AI for Beginners pitch.</w:t>
      </w:r>
      <w:r>
        <w:t xml:space="preserve"> </w:t>
      </w:r>
      <w:r>
        <w:t xml:space="preserve">52% anxious or overwhelmed, 85% stuck at search, 3% proficient: that is the exact audience for AI Fundamentals and Claude 101. One cited stat block replaces a paragraph of persuasion.</w:t>
      </w:r>
    </w:p>
    <w:bookmarkEnd w:id="22"/>
    <w:bookmarkStart w:id="23" w:name="watch-outs"/>
    <w:p>
      <w:pPr>
        <w:pStyle w:val="Heading2"/>
      </w:pPr>
      <w:r>
        <w:t xml:space="preserve">Watch-outs</w:t>
      </w:r>
    </w:p>
    <w:p>
      <w:pPr>
        <w:numPr>
          <w:ilvl w:val="0"/>
          <w:numId w:val="1003"/>
        </w:numPr>
        <w:pStyle w:val="Compact"/>
      </w:pPr>
      <w:r>
        <w:t xml:space="preserve">The 1:1 (heading to 3:1) agents-per-employee benchmark is enterprise-flavoured and will read as hype to your audience if quoted bare. If you use it, translate it:</w:t>
      </w:r>
      <w:r>
        <w:t xml:space="preserve"> </w:t>
      </w:r>
      <w:r>
        <w:t xml:space="preserve">“</w:t>
      </w:r>
      <w:r>
        <w:t xml:space="preserve">every person having at least one background task running</w:t>
      </w:r>
      <w:r>
        <w:t xml:space="preserve">”</w:t>
      </w:r>
      <w:r>
        <w:t xml:space="preserve"> </w:t>
      </w:r>
      <w:r>
        <w:t xml:space="preserve">is the vooee-voiced version.</w:t>
      </w:r>
    </w:p>
    <w:p>
      <w:pPr>
        <w:numPr>
          <w:ilvl w:val="0"/>
          <w:numId w:val="1003"/>
        </w:numPr>
        <w:pStyle w:val="Compact"/>
      </w:pPr>
      <w:r>
        <w:t xml:space="preserve">The case studies (Sidearm, Autodesk, Horizon) are Section’s client stories; cite them as Section’s, never retell them as your own observations.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2026-07-22T20:00:19Z</dcterms:created>
  <dcterms:modified xsi:type="dcterms:W3CDTF">2026-07-22T20:00:19Z</dcterms:modified>
</cp:coreProperties>
</file>

<file path=docProps/custom.xml><?xml version="1.0" encoding="utf-8"?>
<Properties xmlns="http://schemas.openxmlformats.org/officeDocument/2006/custom-properties" xmlns:vt="http://schemas.openxmlformats.org/officeDocument/2006/docPropsVTypes"/>
</file>