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py-drafts-the-alignment-room-thread"/>
    <w:p>
      <w:pPr>
        <w:pStyle w:val="Heading1"/>
      </w:pPr>
      <w:r>
        <w:t xml:space="preserve">Copy drafts: the Alignment Room thread</w:t>
      </w:r>
    </w:p>
    <w:p>
      <w:pPr>
        <w:pStyle w:val="FirstParagraph"/>
      </w:pPr>
      <w:r>
        <w:t xml:space="preserve">Draft v2, 22 July 2026. Three pieces: the advisory ladder rework, the Sprint page opening, the AIPT proposal skeleton. Written to the voice rules: no em-dashes, no banned words, no antithesis patterns, lowercase vooee,</w:t>
      </w:r>
      <w:r>
        <w:t xml:space="preserve"> </w:t>
      </w:r>
      <w:r>
        <w:t xml:space="preserve">“</w:t>
      </w:r>
      <w:r>
        <w:t xml:space="preserve">I</w:t>
      </w:r>
      <w:r>
        <w:t xml:space="preserve">”</w:t>
      </w:r>
      <w:r>
        <w:t xml:space="preserve"> </w:t>
      </w:r>
      <w:r>
        <w:t xml:space="preserve">for identity, prices only on their own pages. No governance artefacts exist on the site (no check, no pack, nothing to download); nothing below links to or mentions them.</w:t>
      </w:r>
    </w:p>
    <w:p>
      <w:pPr>
        <w:pStyle w:val="BodyText"/>
      </w:pPr>
      <w:r>
        <w:t xml:space="preserve">Naming decision embedded here for Jeanna’s sign-off: the $1,900 AI Working Session becomes</w:t>
      </w:r>
      <w:r>
        <w:t xml:space="preserve"> </w:t>
      </w:r>
      <w:r>
        <w:rPr>
          <w:bCs/>
          <w:b/>
        </w:rPr>
        <w:t xml:space="preserve">The Alignment Room</w:t>
      </w:r>
      <w:r>
        <w:t xml:space="preserve">. The 90-Day Engagement keeps its name and price. Nothing else renames.</w:t>
      </w:r>
    </w:p>
    <w:p>
      <w:pPr>
        <w:pStyle w:val="BodyText"/>
      </w:pPr>
      <w:r>
        <w:rPr>
          <w:bCs/>
          <w:b/>
        </w:rPr>
        <w:t xml:space="preserve">v2 status: reviewed by the mini-panel (Ritson, Miller, Kohler), unanimous approve-with-changes, all changes applied below.</w:t>
      </w:r>
      <w:r>
        <w:t xml:space="preserve"> </w:t>
      </w:r>
      <w:r>
        <w:t xml:space="preserve">The panel’s sequencing ruling: the AIPT proposal carries the new name and goes out this week; the public website copy flips only when AIPT signs. Full reviews at the end of this document.</w:t>
      </w:r>
    </w:p>
    <w:p>
      <w:r>
        <w:pict>
          <v:rect style="width:0;height:1.5pt" o:hralign="center" o:hrstd="t" o:hr="t"/>
        </w:pict>
      </w:r>
    </w:p>
    <w:bookmarkStart w:id="26" w:name="X007ce4bb10c61e737d36643d570335c752cf2a0"/>
    <w:p>
      <w:pPr>
        <w:pStyle w:val="Heading2"/>
      </w:pPr>
      <w:r>
        <w:t xml:space="preserve">Piece 1: Advisory page rework (vooee.au/advisory)</w:t>
      </w:r>
    </w:p>
    <w:bookmarkStart w:id="20" w:name="Xae1e4858a1e1304f4787c25e6653982e0ec6e61"/>
    <w:p>
      <w:pPr>
        <w:pStyle w:val="Heading3"/>
      </w:pPr>
      <w:r>
        <w:t xml:space="preserve">Hero (revised per Ritson and Miller: wallpaper line cut, the misalignment hook does the work)</w:t>
      </w:r>
    </w:p>
    <w:p>
      <w:pPr>
        <w:pStyle w:val="FirstParagraph"/>
      </w:pPr>
      <w:r>
        <w:rPr>
          <w:bCs/>
          <w:b/>
        </w:rPr>
        <w:t xml:space="preserve">Eyebrow:</w:t>
      </w:r>
      <w:r>
        <w:t xml:space="preserve"> </w:t>
      </w:r>
      <w:r>
        <w:t xml:space="preserve">Fractional AI Advisory</w:t>
      </w:r>
      <w:r>
        <w:t xml:space="preserve"> </w:t>
      </w:r>
      <w:r>
        <w:rPr>
          <w:bCs/>
          <w:b/>
        </w:rPr>
        <w:t xml:space="preserve">Headline:</w:t>
      </w:r>
      <w:r>
        <w:t xml:space="preserve"> </w:t>
      </w:r>
      <w:r>
        <w:t xml:space="preserve">An AI advisor at your table, without the full-time hire.</w:t>
      </w:r>
      <w:r>
        <w:t xml:space="preserve"> </w:t>
      </w:r>
      <w:r>
        <w:rPr>
          <w:bCs/>
          <w:b/>
        </w:rPr>
        <w:t xml:space="preserve">Body:</w:t>
      </w:r>
      <w:r>
        <w:t xml:space="preserve"> </w:t>
      </w:r>
      <w:r>
        <w:t xml:space="preserve">Ask five leaders in the same business why they want AI, and you will often hear five different answers. That gap is where AI plans stall, and it is where this work starts. Senior AI advice for Australian businesses, led by Jeanna Manifold. Start with half a day.</w:t>
      </w:r>
    </w:p>
    <w:bookmarkEnd w:id="20"/>
    <w:bookmarkStart w:id="21" w:name="new-intro-line-above-the-ladder"/>
    <w:p>
      <w:pPr>
        <w:pStyle w:val="Heading3"/>
      </w:pPr>
      <w:r>
        <w:t xml:space="preserve">New intro line above the ladder</w:t>
      </w:r>
    </w:p>
    <w:p>
      <w:pPr>
        <w:pStyle w:val="FirstParagraph"/>
      </w:pPr>
      <w:r>
        <w:t xml:space="preserve">Every engagement starts in the Alignment Room. What happens next depends on what your roadmap says and how much help you want carrying it out.</w:t>
      </w:r>
    </w:p>
    <w:bookmarkEnd w:id="21"/>
    <w:bookmarkStart w:id="22" w:name="X492a687c6243a385cfcdce938ec614a56d03ffb"/>
    <w:p>
      <w:pPr>
        <w:pStyle w:val="Heading3"/>
      </w:pPr>
      <w:r>
        <w:t xml:space="preserve">Rung 1 (renamed and rewritten; buyer state first per Miller, claims softened per Kohler, mechanics removed per Jeanna 22 Jul)</w:t>
      </w:r>
    </w:p>
    <w:p>
      <w:pPr>
        <w:pStyle w:val="FirstParagraph"/>
      </w:pPr>
      <w:r>
        <w:rPr>
          <w:bCs/>
          <w:b/>
        </w:rPr>
        <w:t xml:space="preserve">Start here. The Alignment Room. $1,900 AUD.</w:t>
      </w:r>
      <w:r>
        <w:t xml:space="preserve"> </w:t>
      </w:r>
      <w:r>
        <w:t xml:space="preserve">For businesses that want AI but can’t yet say why. Half a day with your leadership team. We surface how each of you thinks AI might be applied in the business, the optimistic and the pessimistic, then find where alignment already exists and name the tensions worth resolving while they are still cheap to resolve.</w:t>
      </w:r>
    </w:p>
    <w:p>
      <w:pPr>
        <w:pStyle w:val="BodyText"/>
      </w:pPr>
      <w:r>
        <w:t xml:space="preserve">Leadership teams often discover they hold five different answers to</w:t>
      </w:r>
      <w:r>
        <w:t xml:space="preserve"> </w:t>
      </w:r>
      <w:r>
        <w:t xml:space="preserve">“</w:t>
      </w:r>
      <w:r>
        <w:t xml:space="preserve">why do we want AI?</w:t>
      </w:r>
      <w:r>
        <w:t xml:space="preserve">”</w:t>
      </w:r>
      <w:r>
        <w:t xml:space="preserve">. Surfacing that early is the point: alignment first, tools second. By the end of the half day you have one answer, written in your own words, along with a 90-day roadmap and the first draft of your AI ground rules, built in the room from what your team said.</w:t>
      </w:r>
    </w:p>
    <w:p>
      <w:pPr>
        <w:pStyle w:val="BodyText"/>
      </w:pPr>
      <w:r>
        <w:t xml:space="preserve">And if the honest answer in parts of your business is</w:t>
      </w:r>
      <w:r>
        <w:t xml:space="preserve"> </w:t>
      </w:r>
      <w:r>
        <w:t xml:space="preserve">“</w:t>
      </w:r>
      <w:r>
        <w:t xml:space="preserve">we shouldn’t</w:t>
      </w:r>
      <w:r>
        <w:t xml:space="preserve">”</w:t>
      </w:r>
      <w:r>
        <w:t xml:space="preserve">, the roadmap says that too.</w:t>
      </w:r>
    </w:p>
    <w:p>
      <w:pPr>
        <w:pStyle w:val="BodyText"/>
      </w:pPr>
      <w:r>
        <w:rPr>
          <w:iCs/>
          <w:i/>
        </w:rPr>
        <w:t xml:space="preserve">(Card footer: Half a day. Your whole leadership team. You leave with the roadmap.)</w:t>
      </w:r>
    </w:p>
    <w:p>
      <w:pPr>
        <w:pStyle w:val="BodyText"/>
      </w:pPr>
      <w:r>
        <w:rPr>
          <w:iCs/>
          <w:i/>
        </w:rPr>
        <w:t xml:space="preserve">(Mechanics rule, Jeanna’s call 22 July: the delivery details, devices, silent capture, the screen reveal, the word cloud, stay out of public copy and proposals. They are theatre discovered in the room, and keeping them out keeps the copy honest before the app is built and dry-run. The proposal to FEG uses the same outcome language as this card.)</w:t>
      </w:r>
    </w:p>
    <w:bookmarkEnd w:id="22"/>
    <w:bookmarkStart w:id="23" w:name="Xe42038fae730068f129cdd78bd52031861685c9"/>
    <w:p>
      <w:pPr>
        <w:pStyle w:val="Heading3"/>
      </w:pPr>
      <w:r>
        <w:t xml:space="preserve">Rung 2 (measurement first per Miller and Ritson;</w:t>
      </w:r>
      <w:r>
        <w:t xml:space="preserve"> </w:t>
      </w:r>
      <w:r>
        <w:t xml:space="preserve">“</w:t>
      </w:r>
      <w:r>
        <w:t xml:space="preserve">exactly</w:t>
      </w:r>
      <w:r>
        <w:t xml:space="preserve">”</w:t>
      </w:r>
      <w:r>
        <w:t xml:space="preserve"> </w:t>
      </w:r>
      <w:r>
        <w:t xml:space="preserve">softened per Kohler)</w:t>
      </w:r>
    </w:p>
    <w:p>
      <w:pPr>
        <w:pStyle w:val="FirstParagraph"/>
      </w:pPr>
      <w:r>
        <w:rPr>
          <w:bCs/>
          <w:b/>
        </w:rPr>
        <w:t xml:space="preserve">Go deeper. The 90-Day Engagement. $15,000 AUD.</w:t>
      </w:r>
      <w:r>
        <w:t xml:space="preserve"> </w:t>
      </w:r>
      <w:r>
        <w:t xml:space="preserve">The engagement runs on a working document your leadership team fills in as we go, scored at day 0 and again at day 90, so you can see what moved and what needs attention next. Between those two scores we build the roadmap together: regular working sessions with your team, real workflows stood up in your business, and the thinking captured in your words so it keeps working after I step back.</w:t>
      </w:r>
    </w:p>
    <w:p>
      <w:pPr>
        <w:pStyle w:val="BodyText"/>
      </w:pPr>
      <w:r>
        <w:t xml:space="preserve">For businesses ready to put the roadmap to work.</w:t>
      </w:r>
    </w:p>
    <w:bookmarkEnd w:id="23"/>
    <w:bookmarkStart w:id="24" w:name="rung-3-unchanged"/>
    <w:p>
      <w:pPr>
        <w:pStyle w:val="Heading3"/>
      </w:pPr>
      <w:r>
        <w:t xml:space="preserve">Rung 3 (unchanged)</w:t>
      </w:r>
    </w:p>
    <w:p>
      <w:pPr>
        <w:pStyle w:val="FirstParagraph"/>
      </w:pPr>
      <w:r>
        <w:rPr>
          <w:bCs/>
          <w:b/>
        </w:rPr>
        <w:t xml:space="preserve">Two seats only. Fractional AI Advisor. $8,500 AUD / month.</w:t>
      </w:r>
      <w:r>
        <w:t xml:space="preserve"> </w:t>
      </w:r>
      <w:r>
        <w:t xml:space="preserve">As currently published.</w:t>
      </w:r>
    </w:p>
    <w:bookmarkEnd w:id="24"/>
    <w:bookmarkStart w:id="25" w:name="X13dc1219ed768e3a6cc1ec42b9dc3e03d12f578"/>
    <w:p>
      <w:pPr>
        <w:pStyle w:val="Heading3"/>
      </w:pPr>
      <w:r>
        <w:t xml:space="preserve">Record notes (for the master copy, not the page)</w:t>
      </w:r>
    </w:p>
    <w:p>
      <w:pPr>
        <w:numPr>
          <w:ilvl w:val="0"/>
          <w:numId w:val="1001"/>
        </w:numPr>
        <w:pStyle w:val="Compact"/>
      </w:pPr>
      <w:r>
        <w:t xml:space="preserve">The Alignment Room was the AI Working Session until July 2026. The ladder note about the Website Deep Dive stays unchanged.</w:t>
      </w:r>
    </w:p>
    <w:p>
      <w:pPr>
        <w:numPr>
          <w:ilvl w:val="0"/>
          <w:numId w:val="1001"/>
        </w:numPr>
        <w:pStyle w:val="Compact"/>
      </w:pPr>
      <w:r>
        <w:rPr>
          <w:bCs/>
          <w:b/>
        </w:rPr>
        <w:t xml:space="preserve">Sequencing (panel ruling):</w:t>
      </w:r>
      <w:r>
        <w:t xml:space="preserve"> </w:t>
      </w:r>
      <w:r>
        <w:t xml:space="preserve">the AIPT proposal carries the name</w:t>
      </w:r>
      <w:r>
        <w:t xml:space="preserve"> </w:t>
      </w:r>
      <w:r>
        <w:t xml:space="preserve">“</w:t>
      </w:r>
      <w:r>
        <w:t xml:space="preserve">The Alignment Room</w:t>
      </w:r>
      <w:r>
        <w:t xml:space="preserve">”</w:t>
      </w:r>
      <w:r>
        <w:t xml:space="preserve"> </w:t>
      </w:r>
      <w:r>
        <w:t xml:space="preserve">now; the public website copy flips when AIPT signs. Until then the live site keeps</w:t>
      </w:r>
      <w:r>
        <w:t xml:space="preserve"> </w:t>
      </w:r>
      <w:r>
        <w:t xml:space="preserve">“</w:t>
      </w:r>
      <w:r>
        <w:t xml:space="preserve">AI Working Session</w:t>
      </w:r>
      <w:r>
        <w:t xml:space="preserve">”</w:t>
      </w:r>
      <w:r>
        <w:t xml:space="preserve">.</w:t>
      </w:r>
    </w:p>
    <w:p>
      <w:pPr>
        <w:numPr>
          <w:ilvl w:val="0"/>
          <w:numId w:val="1001"/>
        </w:numPr>
        <w:pStyle w:val="Compact"/>
      </w:pPr>
      <w:r>
        <w:t xml:space="preserve">Do not publish persona language yet. The boundaries interview and leader personas stay out of public copy until delivered once and red-teamed; they can live in proposals as</w:t>
      </w:r>
      <w:r>
        <w:t xml:space="preserve"> </w:t>
      </w:r>
      <w:r>
        <w:t xml:space="preserve">“</w:t>
      </w:r>
      <w:r>
        <w:t xml:space="preserve">tailored 1:1 sessions for each leader</w:t>
      </w:r>
      <w:r>
        <w:t xml:space="preserve">”</w:t>
      </w:r>
      <w:r>
        <w:t xml:space="preserve">.</w:t>
      </w:r>
    </w:p>
    <w:p>
      <w:pPr>
        <w:numPr>
          <w:ilvl w:val="0"/>
          <w:numId w:val="1001"/>
        </w:numPr>
        <w:pStyle w:val="Compact"/>
      </w:pPr>
      <w:r>
        <w:rPr>
          <w:bCs/>
          <w:b/>
        </w:rPr>
        <w:t xml:space="preserve">Pre-ship checklist (Kohler):</w:t>
      </w:r>
      <w:r>
        <w:t xml:space="preserve"> </w:t>
      </w:r>
      <w:r>
        <w:t xml:space="preserve">(1) finish the day-0/day-90 scoring rubric as a real artefact; the six-area snapshot table in the 90-Day Workbook draft is the start, it needs scoring guidance per area before the $15,000 page promises it; (2) dry-run the live ground-rules drafting end to end, at least once, under facilitation load; (3) both IP checks (BetterHRx, Allie Miller) cleared before the engine is marketed publicly.</w:t>
      </w:r>
    </w:p>
    <w:p>
      <w:pPr>
        <w:numPr>
          <w:ilvl w:val="0"/>
          <w:numId w:val="1001"/>
        </w:numPr>
        <w:pStyle w:val="Compact"/>
      </w:pPr>
      <w:r>
        <w:rPr>
          <w:bCs/>
          <w:b/>
        </w:rPr>
        <w:t xml:space="preserve">Calendar decision (Miller):</w:t>
      </w:r>
      <w:r>
        <w:t xml:space="preserve"> </w:t>
      </w:r>
      <w:r>
        <w:t xml:space="preserve">whether the free Ground Rules Check and $129 pack go public is decided the week AIPT signs, deliberately, as top-of-funnel for buyer state 2. Neither exists on the site today and nothing above depends on them.</w:t>
      </w:r>
    </w:p>
    <w:p>
      <w:r>
        <w:pict>
          <v:rect style="width:0;height:1.5pt" o:hralign="center" o:hrstd="t" o:hr="t"/>
        </w:pict>
      </w:r>
    </w:p>
    <w:bookmarkEnd w:id="25"/>
    <w:bookmarkEnd w:id="26"/>
    <w:bookmarkStart w:id="27" w:name="Xeb2a2b4e4b4c3928ec9f4aeece0d654259cd4fc"/>
    <w:p>
      <w:pPr>
        <w:pStyle w:val="Heading2"/>
      </w:pPr>
      <w:r>
        <w:t xml:space="preserve">Piece 2: AI Training page, Sprint opening (rework of hero and lead only)</w:t>
      </w:r>
    </w:p>
    <w:p>
      <w:pPr>
        <w:pStyle w:val="FirstParagraph"/>
      </w:pPr>
      <w:r>
        <w:rPr>
          <w:bCs/>
          <w:b/>
        </w:rPr>
        <w:t xml:space="preserve">Eyebrow:</w:t>
      </w:r>
      <w:r>
        <w:t xml:space="preserve"> </w:t>
      </w:r>
      <w:r>
        <w:t xml:space="preserve">AI Enablement Sprint</w:t>
      </w:r>
      <w:r>
        <w:t xml:space="preserve"> </w:t>
      </w:r>
      <w:r>
        <w:rPr>
          <w:bCs/>
          <w:b/>
        </w:rPr>
        <w:t xml:space="preserve">Headline:</w:t>
      </w:r>
      <w:r>
        <w:t xml:space="preserve"> </w:t>
      </w:r>
      <w:r>
        <w:t xml:space="preserve">Building capability from within.</w:t>
      </w:r>
      <w:r>
        <w:t xml:space="preserve"> </w:t>
      </w:r>
      <w:r>
        <w:rPr>
          <w:iCs/>
          <w:i/>
        </w:rPr>
        <w:t xml:space="preserve">(unchanged)</w:t>
      </w:r>
      <w:r>
        <w:t xml:space="preserve"> </w:t>
      </w:r>
      <w:r>
        <w:rPr>
          <w:bCs/>
          <w:b/>
        </w:rPr>
        <w:t xml:space="preserve">New sub:</w:t>
      </w:r>
      <w:r>
        <w:t xml:space="preserve"> </w:t>
      </w:r>
      <w:r>
        <w:t xml:space="preserve">Most teams already have the accounts. Claude, ChatGPT, Copilot: the seats are paid for, one or two people use them well, and everyone else is stuck at a blank page. The sprint is six weeks that turns paid-for seats into real work.</w:t>
      </w:r>
    </w:p>
    <w:p>
      <w:pPr>
        <w:pStyle w:val="BodyText"/>
      </w:pPr>
      <w:r>
        <w:rPr>
          <w:bCs/>
          <w:b/>
        </w:rPr>
        <w:t xml:space="preserve">New lead paragraph (replaces the current intro):</w:t>
      </w:r>
      <w:r>
        <w:t xml:space="preserve"> </w:t>
      </w:r>
      <w:r>
        <w:t xml:space="preserve">A team of five. Six weeks. Each person builds something real from their own role during the program, with coaching along the way, and leadership gets a report at the end on what moved and where to focus next. No prior AI experience needed. You bring the work; we bring the method.</w:t>
      </w:r>
    </w:p>
    <w:p>
      <w:pPr>
        <w:pStyle w:val="BodyText"/>
      </w:pPr>
      <w:r>
        <w:rPr>
          <w:iCs/>
          <w:i/>
        </w:rPr>
        <w:t xml:space="preserve">(Everything else on the page, the EY stats, the program structure, the FAQs, stays as published.)</w:t>
      </w:r>
    </w:p>
    <w:p>
      <w:r>
        <w:pict>
          <v:rect style="width:0;height:1.5pt" o:hralign="center" o:hrstd="t" o:hr="t"/>
        </w:pict>
      </w:r>
    </w:p>
    <w:bookmarkEnd w:id="27"/>
    <w:bookmarkStart w:id="28" w:name="X95cb9bcea1a432e2025a049fa1f6c2cf2d0e0fc"/>
    <w:p>
      <w:pPr>
        <w:pStyle w:val="Heading2"/>
      </w:pPr>
      <w:r>
        <w:t xml:space="preserve">Piece 3: AIPT / Foundation Education proposal skeleton</w:t>
      </w:r>
    </w:p>
    <w:p>
      <w:pPr>
        <w:pStyle w:val="FirstParagraph"/>
      </w:pPr>
      <w:r>
        <w:rPr>
          <w:iCs/>
          <w:i/>
        </w:rPr>
        <w:t xml:space="preserve">(Word document, Foundation Education branding courtesy, sent to Jordan. Prices and options marked [J] are Jeanna’s decisions before sending.)</w:t>
      </w:r>
    </w:p>
    <w:p>
      <w:pPr>
        <w:pStyle w:val="BodyText"/>
      </w:pPr>
      <w:r>
        <w:rPr>
          <w:bCs/>
          <w:b/>
        </w:rPr>
        <w:t xml:space="preserve">1. What we heard on Tuesday.</w:t>
      </w:r>
      <w:r>
        <w:t xml:space="preserve"> </w:t>
      </w:r>
      <w:r>
        <w:t xml:space="preserve">Three things from the demo session, played back plainly. Your team wants Claude working in sales and marketing now, without waiting for the HubSpot migration. You want the team able to build and run this themselves, without depending on me. And the room surfaced a genuinely useful question about scope: sales and marketing first, but where do the student journey and operations fit, and when? That question deserves a proper answer from your leadership team, and there’s a good way to get it.</w:t>
      </w:r>
    </w:p>
    <w:p>
      <w:pPr>
        <w:pStyle w:val="BodyText"/>
      </w:pPr>
      <w:r>
        <w:rPr>
          <w:bCs/>
          <w:b/>
        </w:rPr>
        <w:t xml:space="preserve">2. The shape I recommend.</w:t>
      </w:r>
      <w:r>
        <w:t xml:space="preserve"> </w:t>
      </w:r>
      <w:r>
        <w:t xml:space="preserve">Two parts, in order.</w:t>
      </w:r>
    </w:p>
    <w:p>
      <w:pPr>
        <w:pStyle w:val="BodyText"/>
      </w:pPr>
      <w:r>
        <w:rPr>
          <w:iCs/>
          <w:i/>
        </w:rPr>
        <w:t xml:space="preserve">Part one: the Alignment Room (leadership, half a day).</w:t>
      </w:r>
      <w:r>
        <w:t xml:space="preserve"> </w:t>
      </w:r>
      <w:r>
        <w:t xml:space="preserve">Your leaders each answer the same questions independently in the room, then we put the answers side by side and settle the scope question properly: what AI is for at FEG and AIPT, what order to do things in, which decisions stay with people, and the ground rules for the team. You leave with a written 90-day roadmap and a drafted AI policy. This is also where</w:t>
      </w:r>
      <w:r>
        <w:t xml:space="preserve"> </w:t>
      </w:r>
      <w:r>
        <w:t xml:space="preserve">“</w:t>
      </w:r>
      <w:r>
        <w:t xml:space="preserve">sales and marketing first</w:t>
      </w:r>
      <w:r>
        <w:t xml:space="preserve">”</w:t>
      </w:r>
      <w:r>
        <w:t xml:space="preserve"> </w:t>
      </w:r>
      <w:r>
        <w:t xml:space="preserve">gets pressure-tested against everything else on the table, so the whole leadership team owns the answer.</w:t>
      </w:r>
    </w:p>
    <w:p>
      <w:pPr>
        <w:pStyle w:val="BodyText"/>
      </w:pPr>
      <w:r>
        <w:rPr>
          <w:iCs/>
          <w:i/>
        </w:rPr>
        <w:t xml:space="preserve">Part two: the AI Enablement Sprint (the sales and marketing team, six weeks).</w:t>
      </w:r>
      <w:r>
        <w:t xml:space="preserve"> </w:t>
      </w:r>
      <w:r>
        <w:t xml:space="preserve">A cohort of five. Week one covers foundations and safe use, week two locks each person’s project (drawn from the real sales and marketing work: the dashboards, the content engine, the nurture emails we looked at), weeks three to five are individual coaching, week six the cohort shows what they built. Leadership gets a report on capability before and after, what the team built, and what to focus on next. The sprint is how</w:t>
      </w:r>
      <w:r>
        <w:t xml:space="preserve"> </w:t>
      </w:r>
      <w:r>
        <w:t xml:space="preserve">“</w:t>
      </w:r>
      <w:r>
        <w:t xml:space="preserve">the team runs it without Jeanna</w:t>
      </w:r>
      <w:r>
        <w:t xml:space="preserve">”</w:t>
      </w:r>
      <w:r>
        <w:t xml:space="preserve"> </w:t>
      </w:r>
      <w:r>
        <w:t xml:space="preserve">actually happens.</w:t>
      </w:r>
    </w:p>
    <w:p>
      <w:pPr>
        <w:pStyle w:val="BodyText"/>
      </w:pPr>
      <w:r>
        <w:rPr>
          <w:bCs/>
          <w:b/>
        </w:rPr>
        <w:t xml:space="preserve">3. Where the dashboards fit.</w:t>
      </w:r>
      <w:r>
        <w:t xml:space="preserve"> </w:t>
      </w:r>
      <w:r>
        <w:t xml:space="preserve">The social intelligence dashboards continue as the working example. During the sprint the team learns to maintain and extend them, so the asset and the capability land together. [J: position further build work as included, scoped separately, or rolled into part two.]</w:t>
      </w:r>
    </w:p>
    <w:p>
      <w:pPr>
        <w:pStyle w:val="BodyText"/>
      </w:pPr>
      <w:r>
        <w:rPr>
          <w:bCs/>
          <w:b/>
        </w:rPr>
        <w:t xml:space="preserve">4. Investment.</w:t>
      </w:r>
      <w:r>
        <w:t xml:space="preserve"> </w:t>
      </w:r>
      <w:r>
        <w:t xml:space="preserve">Stated prices, itemised, no</w:t>
      </w:r>
      <w:r>
        <w:t xml:space="preserve"> </w:t>
      </w:r>
      <w:r>
        <w:t xml:space="preserve">“</w:t>
      </w:r>
      <w:r>
        <w:t xml:space="preserve">precedent</w:t>
      </w:r>
      <w:r>
        <w:t xml:space="preserve">”</w:t>
      </w:r>
      <w:r>
        <w:t xml:space="preserve"> </w:t>
      </w:r>
      <w:r>
        <w:t xml:space="preserve">language (Kohler: precedent means someone paid it; call it list pricing). The Alignment Room, $1,900. The AI Enablement Sprint for a team of five, $15,000. [J: confirm the sprint figure as list price; present combined total plainly; full price, no discounting on the first reference sale (Ritson).] Proposal carries an expiry date [J: suggest 14 days] per Miller: the 21 July heat decays fast.</w:t>
      </w:r>
    </w:p>
    <w:p>
      <w:pPr>
        <w:pStyle w:val="BodyText"/>
      </w:pPr>
      <w:r>
        <w:rPr>
          <w:bCs/>
          <w:b/>
        </w:rPr>
        <w:t xml:space="preserve">5. Timing.</w:t>
      </w:r>
      <w:r>
        <w:t xml:space="preserve"> </w:t>
      </w:r>
      <w:r>
        <w:t xml:space="preserve">Proposal out within five business days of the demo (Miller). Alignment Room within [two weeks]. Sprint starts the week after. Team self-sufficient on their own work by [date, roughly eight weeks out].</w:t>
      </w:r>
    </w:p>
    <w:p>
      <w:pPr>
        <w:pStyle w:val="BodyText"/>
      </w:pPr>
      <w:r>
        <w:rPr>
          <w:bCs/>
          <w:b/>
        </w:rPr>
        <w:t xml:space="preserve">6. Next step.</w:t>
      </w:r>
      <w:r>
        <w:t xml:space="preserve"> </w:t>
      </w:r>
      <w:r>
        <w:t xml:space="preserve">One line: confirm the leadership half day and I’ll send calendar options.</w:t>
      </w:r>
    </w:p>
    <w:p>
      <w:r>
        <w:pict>
          <v:rect style="width:0;height:1.5pt" o:hralign="center" o:hrstd="t" o:hr="t"/>
        </w:pict>
      </w:r>
    </w:p>
    <w:bookmarkEnd w:id="28"/>
    <w:bookmarkStart w:id="29" w:name="not-in-any-copy-on-purpose"/>
    <w:p>
      <w:pPr>
        <w:pStyle w:val="Heading2"/>
      </w:pPr>
      <w:r>
        <w:t xml:space="preserve">Not in any copy, on purpose</w:t>
      </w:r>
    </w:p>
    <w:p>
      <w:pPr>
        <w:numPr>
          <w:ilvl w:val="0"/>
          <w:numId w:val="1002"/>
        </w:numPr>
        <w:pStyle w:val="Compact"/>
      </w:pPr>
      <w:r>
        <w:t xml:space="preserve">The free Ground Rules Check and the $129 pack: internal drafts, no public product exists, nothing published.</w:t>
      </w:r>
    </w:p>
    <w:p>
      <w:pPr>
        <w:numPr>
          <w:ilvl w:val="0"/>
          <w:numId w:val="1002"/>
        </w:numPr>
        <w:pStyle w:val="Compact"/>
      </w:pPr>
      <w:r>
        <w:t xml:space="preserve">Leader personas: proposal language only (</w:t>
      </w:r>
      <w:r>
        <w:t xml:space="preserve">“</w:t>
      </w:r>
      <w:r>
        <w:t xml:space="preserve">tailored 1:1 sessions for each leader</w:t>
      </w:r>
      <w:r>
        <w:t xml:space="preserve">”</w:t>
      </w:r>
      <w:r>
        <w:t xml:space="preserve">), no public claims.</w:t>
      </w:r>
    </w:p>
    <w:p>
      <w:pPr>
        <w:numPr>
          <w:ilvl w:val="0"/>
          <w:numId w:val="1002"/>
        </w:numPr>
        <w:pStyle w:val="Compact"/>
      </w:pPr>
      <w:r>
        <w:t xml:space="preserve">“</w:t>
      </w:r>
      <w:r>
        <w:t xml:space="preserve">Responsible AI</w:t>
      </w:r>
      <w:r>
        <w:t xml:space="preserve">”</w:t>
      </w:r>
      <w:r>
        <w:t xml:space="preserve"> </w:t>
      </w:r>
      <w:r>
        <w:t xml:space="preserve">as a headline: it appears in the copy as ground rules, safe use, and decisions that stay with people, which is how this audience hears it.</w:t>
      </w:r>
    </w:p>
    <w:p>
      <w:r>
        <w:pict>
          <v:rect style="width:0;height:1.5pt" o:hralign="center" o:hrstd="t" o:hr="t"/>
        </w:pict>
      </w:r>
    </w:p>
    <w:bookmarkEnd w:id="29"/>
    <w:bookmarkEnd w:id="30"/>
    <w:bookmarkStart w:id="34" w:name="the-mini-panel-reviews-verbatim"/>
    <w:p>
      <w:pPr>
        <w:pStyle w:val="Heading1"/>
      </w:pPr>
      <w:r>
        <w:t xml:space="preserve">The mini-panel reviews (verbatim)</w:t>
      </w:r>
    </w:p>
    <w:bookmarkStart w:id="31" w:name="mark-ritson-approve-with-changes"/>
    <w:p>
      <w:pPr>
        <w:pStyle w:val="Heading2"/>
      </w:pPr>
      <w:r>
        <w:t xml:space="preserve">Mark Ritson: APPROVE WITH CHANGES</w:t>
      </w:r>
    </w:p>
    <w:p>
      <w:pPr>
        <w:pStyle w:val="FirstParagraph"/>
      </w:pPr>
      <w:r>
        <w:t xml:space="preserve">“</w:t>
      </w:r>
      <w:r>
        <w:t xml:space="preserve">The scope discipline is right: same architecture, same prices, same ladder, responsible-AI pushed down to trust layer where it belongs. But read my condition again: renaming the $1,900 session on the live site is publishing the new method before a single sale. Sequence it: send the AIPT proposal with</w:t>
      </w:r>
      <w:r>
        <w:t xml:space="preserve"> </w:t>
      </w:r>
      <w:r>
        <w:t xml:space="preserve">‘</w:t>
      </w:r>
      <w:r>
        <w:t xml:space="preserve">The Alignment Room</w:t>
      </w:r>
      <w:r>
        <w:t xml:space="preserve">’</w:t>
      </w:r>
      <w:r>
        <w:t xml:space="preserve"> </w:t>
      </w:r>
      <w:r>
        <w:t xml:space="preserve">in it this week, keep the website saying</w:t>
      </w:r>
      <w:r>
        <w:t xml:space="preserve"> </w:t>
      </w:r>
      <w:r>
        <w:t xml:space="preserve">‘</w:t>
      </w:r>
      <w:r>
        <w:t xml:space="preserve">AI Working Session</w:t>
      </w:r>
      <w:r>
        <w:t xml:space="preserve">’</w:t>
      </w:r>
      <w:r>
        <w:t xml:space="preserve"> </w:t>
      </w:r>
      <w:r>
        <w:t xml:space="preserve">until AIPT signs, then flip the copy. And I heard nothing about the two IP checks. Silence is not clearance. The buyer-state copy is the best thing in the draft, segmentation done properly, by situation not demographics. The Sprint sub is genuinely good; keep it untouched. Cut</w:t>
      </w:r>
      <w:r>
        <w:t xml:space="preserve"> </w:t>
      </w:r>
      <w:r>
        <w:t xml:space="preserve">‘</w:t>
      </w:r>
      <w:r>
        <w:t xml:space="preserve">Figure out what matters, build what works…</w:t>
      </w:r>
      <w:r>
        <w:t xml:space="preserve">’</w:t>
      </w:r>
      <w:r>
        <w:t xml:space="preserve"> </w:t>
      </w:r>
      <w:r>
        <w:t xml:space="preserve">(wallpaper). One warning: two buyer states on two pages is fine; do not let them breed. The moment there are four states and a quiz, you’ve replaced strategy with content. Do not let the sprint reference price drift into a discount; first reference sale at full price or the price never recovers.</w:t>
      </w:r>
      <w:r>
        <w:t xml:space="preserve">”</w:t>
      </w:r>
    </w:p>
    <w:bookmarkEnd w:id="31"/>
    <w:bookmarkStart w:id="32" w:name="allie-k.-miller-approve-with-changes"/>
    <w:p>
      <w:pPr>
        <w:pStyle w:val="Heading2"/>
      </w:pPr>
      <w:r>
        <w:t xml:space="preserve">Allie K. Miller: APPROVE WITH CHANGES</w:t>
      </w:r>
    </w:p>
    <w:p>
      <w:pPr>
        <w:pStyle w:val="FirstParagraph"/>
      </w:pPr>
      <w:r>
        <w:t xml:space="preserve">“</w:t>
      </w:r>
      <w:r>
        <w:t xml:space="preserve">The core mechanic is finally on the page and it’s the best line in the whole draft: the five-different-answers insight. Right now it’s buried mid-paragraph in Rung 1; that sentence should be doing hero-adjacent work, and the buyer-state qualifier goes first, not as a footnote after 150 words. The hero is the weakest copy here;</w:t>
      </w:r>
      <w:r>
        <w:t xml:space="preserve"> </w:t>
      </w:r>
      <w:r>
        <w:t xml:space="preserve">‘</w:t>
      </w:r>
      <w:r>
        <w:t xml:space="preserve">An AI advisor at your table</w:t>
      </w:r>
      <w:r>
        <w:t xml:space="preserve">’</w:t>
      </w:r>
      <w:r>
        <w:t xml:space="preserve"> </w:t>
      </w:r>
      <w:r>
        <w:t xml:space="preserve">is a category line, so put the misalignment hook in the body. The Sprint page nails buyer state 2 immediately; don’t touch it. Rung 2’s proof is soft: lead with the day-0/day-90 measurement,</w:t>
      </w:r>
      <w:r>
        <w:t xml:space="preserve"> </w:t>
      </w:r>
      <w:r>
        <w:t xml:space="preserve">‘</w:t>
      </w:r>
      <w:r>
        <w:t xml:space="preserve">systems, skills, and habits</w:t>
      </w:r>
      <w:r>
        <w:t xml:space="preserve">’</w:t>
      </w:r>
      <w:r>
        <w:t xml:space="preserve"> </w:t>
      </w:r>
      <w:r>
        <w:t xml:space="preserve">is filler until it’s earned. The free check and pack staying internal is fine for 30 days but calendar the decision: internal-forever is a decision by default, and I don’t approve decisions by default. Don’t reference a price precedent in the proposal, state a price; precedent language invites negotiation. Proposal out within 5 business days, expiry date on it. Keep</w:t>
      </w:r>
      <w:r>
        <w:t xml:space="preserve"> </w:t>
      </w:r>
      <w:r>
        <w:t xml:space="preserve">‘</w:t>
      </w:r>
      <w:r>
        <w:t xml:space="preserve">if the honest answer is we shouldn’t, the roadmap says that too</w:t>
      </w:r>
      <w:r>
        <w:t xml:space="preserve">’</w:t>
      </w:r>
      <w:r>
        <w:t xml:space="preserve">: that’s the trust layer doing its job without a Responsible AI headline.</w:t>
      </w:r>
      <w:r>
        <w:t xml:space="preserve">”</w:t>
      </w:r>
    </w:p>
    <w:bookmarkEnd w:id="32"/>
    <w:bookmarkStart w:id="33" w:name="chris-kohler-approve-with-changes"/>
    <w:p>
      <w:pPr>
        <w:pStyle w:val="Heading2"/>
      </w:pPr>
      <w:r>
        <w:t xml:space="preserve">Chris Kohler: APPROVE WITH CHANGES</w:t>
      </w:r>
    </w:p>
    <w:p>
      <w:pPr>
        <w:pStyle w:val="FirstParagraph"/>
      </w:pPr>
      <w:r>
        <w:t xml:space="preserve">“</w:t>
      </w:r>
      <w:r>
        <w:t xml:space="preserve">This is the first version of anything from vooee that leads with a price, a deliverable, and a named prospect with a date. The app and the tension report are out of the public copy; that’s discipline I haven’t seen before. Claims you cannot yet substantiate:</w:t>
      </w:r>
      <w:r>
        <w:t xml:space="preserve"> </w:t>
      </w:r>
      <w:r>
        <w:t xml:space="preserve">‘</w:t>
      </w:r>
      <w:r>
        <w:t xml:space="preserve">Most leadership teams</w:t>
      </w:r>
      <w:r>
        <w:t xml:space="preserve">’</w:t>
      </w:r>
      <w:r>
        <w:t xml:space="preserve"> </w:t>
      </w:r>
      <w:r>
        <w:t xml:space="preserve">(most of how many? zero paid Alignment Rooms; soften to</w:t>
      </w:r>
      <w:r>
        <w:t xml:space="preserve"> </w:t>
      </w:r>
      <w:r>
        <w:t xml:space="preserve">‘</w:t>
      </w:r>
      <w:r>
        <w:t xml:space="preserve">often</w:t>
      </w:r>
      <w:r>
        <w:t xml:space="preserve">’</w:t>
      </w:r>
      <w:r>
        <w:t xml:space="preserve"> </w:t>
      </w:r>
      <w:r>
        <w:t xml:space="preserve">or cut); the causal claim that misalignment is</w:t>
      </w:r>
      <w:r>
        <w:t xml:space="preserve"> </w:t>
      </w:r>
      <w:r>
        <w:t xml:space="preserve">‘</w:t>
      </w:r>
      <w:r>
        <w:t xml:space="preserve">the reason AI projects stall</w:t>
      </w:r>
      <w:r>
        <w:t xml:space="preserve">’</w:t>
      </w:r>
      <w:r>
        <w:t xml:space="preserve"> </w:t>
      </w:r>
      <w:r>
        <w:t xml:space="preserve">(a belief, not a stated fact);</w:t>
      </w:r>
      <w:r>
        <w:t xml:space="preserve"> </w:t>
      </w:r>
      <w:r>
        <w:t xml:space="preserve">‘</w:t>
      </w:r>
      <w:r>
        <w:t xml:space="preserve">exactly what moved</w:t>
      </w:r>
      <w:r>
        <w:t xml:space="preserve">’</w:t>
      </w:r>
      <w:r>
        <w:t xml:space="preserve"> </w:t>
      </w:r>
      <w:r>
        <w:t xml:space="preserve">(a measurement promise; show me the scoring instrument);</w:t>
      </w:r>
      <w:r>
        <w:t xml:space="preserve"> </w:t>
      </w:r>
      <w:r>
        <w:t xml:space="preserve">‘</w:t>
      </w:r>
      <w:r>
        <w:t xml:space="preserve">built live in the room</w:t>
      </w:r>
      <w:r>
        <w:t xml:space="preserve">’</w:t>
      </w:r>
      <w:r>
        <w:t xml:space="preserve"> </w:t>
      </w:r>
      <w:r>
        <w:t xml:space="preserve">(never performed once for money; rehearse it end to end under facilitation load);</w:t>
      </w:r>
      <w:r>
        <w:t xml:space="preserve"> </w:t>
      </w:r>
      <w:r>
        <w:t xml:space="preserve">‘</w:t>
      </w:r>
      <w:r>
        <w:t xml:space="preserve">precedent</w:t>
      </w:r>
      <w:r>
        <w:t xml:space="preserve">’</w:t>
      </w:r>
      <w:r>
        <w:t xml:space="preserve"> </w:t>
      </w:r>
      <w:r>
        <w:t xml:space="preserve">in the proposal (precedent means someone paid it; call it list pricing). The rename harms nobody, there’s nobody to confuse; but note the pattern: this is the third rework of packaging against zero units sold. The rename is free; it is also not progress. Ship the proposal immediately; that meeting on 21 July is the only event that converts any of this copy from claim to fact.</w:t>
      </w:r>
      <w:r>
        <w:t xml:space="preserv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2026-07-22T22:46:35Z</dcterms:created>
  <dcterms:modified xsi:type="dcterms:W3CDTF">2026-07-22T22:46:35Z</dcterms:modified>
</cp:coreProperties>
</file>

<file path=docProps/custom.xml><?xml version="1.0" encoding="utf-8"?>
<Properties xmlns="http://schemas.openxmlformats.org/officeDocument/2006/custom-properties" xmlns:vt="http://schemas.openxmlformats.org/officeDocument/2006/docPropsVTypes"/>
</file>