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a69768e040c89ac924ac32d2dca5285862b284"/>
    <w:p>
      <w:pPr>
        <w:pStyle w:val="Heading1"/>
      </w:pPr>
      <w:r>
        <w:t xml:space="preserve">The governance ladder: lite for the crowd, facilitated for clients</w:t>
      </w:r>
    </w:p>
    <w:p>
      <w:pPr>
        <w:pStyle w:val="FirstParagraph"/>
      </w:pPr>
      <w:r>
        <w:rPr>
          <w:bCs/>
          <w:b/>
        </w:rPr>
        <w:t xml:space="preserve">Draft · 22 July 2026 · Companion to the 90-Day AI Workbook (doc 06)</w:t>
      </w:r>
    </w:p>
    <w:p>
      <w:pPr>
        <w:pStyle w:val="BodyText"/>
      </w:pPr>
      <w:r>
        <w:t xml:space="preserve">The best of both worlds is a clean split on one principle:</w:t>
      </w:r>
      <w:r>
        <w:t xml:space="preserve"> </w:t>
      </w:r>
      <w:r>
        <w:rPr>
          <w:bCs/>
          <w:b/>
        </w:rPr>
        <w:t xml:space="preserve">the documents are self-serve, the transformation is facilitated.</w:t>
      </w:r>
      <w:r>
        <w:t xml:space="preserve"> </w:t>
      </w:r>
      <w:r>
        <w:t xml:space="preserve">Give the crowd the templates; keep the workbook, the measurement and Jeanna in the room for the engagement. Nobody who buys the lite pack is buying a lesser secret; they are buying the same ground rules without the accompaniment.</w:t>
      </w:r>
    </w:p>
    <w:bookmarkStart w:id="23" w:name="the-three-rungs"/>
    <w:p>
      <w:pPr>
        <w:pStyle w:val="Heading2"/>
      </w:pPr>
      <w:r>
        <w:t xml:space="preserve">The three rungs</w:t>
      </w:r>
    </w:p>
    <w:bookmarkStart w:id="20" w:name="X4feaab2f7ca3c9c13b5fec46e2b10b7f17e99c8"/>
    <w:p>
      <w:pPr>
        <w:pStyle w:val="Heading3"/>
      </w:pPr>
      <w:r>
        <w:t xml:space="preserve">Rung 0 · Free hook — the AI Ground Rules Check</w:t>
      </w:r>
    </w:p>
    <w:p>
      <w:pPr>
        <w:pStyle w:val="FirstParagraph"/>
      </w:pPr>
      <w:r>
        <w:t xml:space="preserve">The pack’s ten-question security self-assessment, turned into a scored check in the Scorecard/Ikigai pattern (answer on the page, score at the end, results email). Ten questions, ten minutes, a score out of ten and one plain-English gap list.</w:t>
      </w:r>
      <w:r>
        <w:t xml:space="preserve"> </w:t>
      </w:r>
      <w:r>
        <w:t xml:space="preserve">- Lives at something like vooee.au/ground-rules; results email joins the Practical AI Brief list (same Brevo plumbing as the Scorecard).</w:t>
      </w:r>
      <w:r>
        <w:t xml:space="preserve"> </w:t>
      </w:r>
      <w:r>
        <w:t xml:space="preserve">- This is the social hook. Every governance-flavoured post ends here, not at a checkout.</w:t>
      </w:r>
      <w:r>
        <w:t xml:space="preserve"> </w:t>
      </w:r>
      <w:r>
        <w:t xml:space="preserve">- Costs nothing to build that hasn’t already been built once: the Scorecard free-check pattern is the template.</w:t>
      </w:r>
    </w:p>
    <w:bookmarkEnd w:id="20"/>
    <w:bookmarkStart w:id="21" w:name="X74a5be6054558f363423e1fd98372a05263bd5a"/>
    <w:p>
      <w:pPr>
        <w:pStyle w:val="Heading3"/>
      </w:pPr>
      <w:r>
        <w:t xml:space="preserve">Rung 1 · The lite pack — self-serve digital product</w:t>
      </w:r>
    </w:p>
    <w:p>
      <w:pPr>
        <w:pStyle w:val="FirstParagraph"/>
      </w:pPr>
      <w:r>
        <w:t xml:space="preserve">The four Policy Pack documents exactly as drafted: policy template, quick-start guide, staff one-pager with rollout checklist, and the customise-with-AI prompt sheet. The prompt sheet is the hero of the lite tier; it is the self-serve substitute for facilitation, which is precisely the point of this rung.</w:t>
      </w:r>
      <w:r>
        <w:t xml:space="preserve"> </w:t>
      </w:r>
      <w:r>
        <w:t xml:space="preserve">- Price: the planned $129 + GST stands. At 50 searches a month this was weak as a</w:t>
      </w:r>
      <w:r>
        <w:t xml:space="preserve"> </w:t>
      </w:r>
      <w:r>
        <w:rPr>
          <w:iCs/>
          <w:i/>
        </w:rPr>
        <w:t xml:space="preserve">destination</w:t>
      </w:r>
      <w:r>
        <w:t xml:space="preserve">; as a</w:t>
      </w:r>
      <w:r>
        <w:t xml:space="preserve"> </w:t>
      </w:r>
      <w:r>
        <w:rPr>
          <w:iCs/>
          <w:i/>
        </w:rPr>
        <w:t xml:space="preserve">funnel step</w:t>
      </w:r>
      <w:r>
        <w:t xml:space="preserve"> </w:t>
      </w:r>
      <w:r>
        <w:t xml:space="preserve">volume doesn’t matter, because socials and the free check bring the traffic, not Google.</w:t>
      </w:r>
      <w:r>
        <w:t xml:space="preserve"> </w:t>
      </w:r>
      <w:r>
        <w:t xml:space="preserve">- Delivery: Stripe payment link + fulfilment via the Scorecard runbook pattern. The landing page and launch kit were already scoped in the pack README.</w:t>
      </w:r>
      <w:r>
        <w:t xml:space="preserve"> </w:t>
      </w:r>
      <w:r>
        <w:t xml:space="preserve">- Positioning line:</w:t>
      </w:r>
      <w:r>
        <w:t xml:space="preserve"> </w:t>
      </w:r>
      <w:r>
        <w:t xml:space="preserve">“</w:t>
      </w:r>
      <w:r>
        <w:t xml:space="preserve">Set your AI ground rules in a weekend.</w:t>
      </w:r>
      <w:r>
        <w:t xml:space="preserve">”</w:t>
      </w:r>
      <w:r>
        <w:t xml:space="preserve"> </w:t>
      </w:r>
      <w:r>
        <w:t xml:space="preserve">- Upgrade bridge: the $129 is credited against the $1,900 Working Session if booked within 60 days. Costs nearly nothing, converts the self-servers who stall halfway through the brackets, and gives every pack buyer a reason to reply to the follow-up email.</w:t>
      </w:r>
    </w:p>
    <w:bookmarkEnd w:id="21"/>
    <w:bookmarkStart w:id="22" w:name="X9fa7771d1af711c78ebb9e60942d538968ea1ac"/>
    <w:p>
      <w:pPr>
        <w:pStyle w:val="Heading3"/>
      </w:pPr>
      <w:r>
        <w:t xml:space="preserve">Rung 2 · The facilitated version — inside the engagement</w:t>
      </w:r>
    </w:p>
    <w:p>
      <w:pPr>
        <w:pStyle w:val="FirstParagraph"/>
      </w:pPr>
      <w:r>
        <w:t xml:space="preserve">The 90-Day AI Workbook (doc 06): Part A’s leadership structures, the day-0/day-90 scored snapshot, the benchmarks, the running pages, and the same governance pack filled in live with Jeanna in the room. Never sold separately, never priced separately; it is what the Working Session and 90-Day Engagement</w:t>
      </w:r>
      <w:r>
        <w:t xml:space="preserve"> </w:t>
      </w:r>
      <w:r>
        <w:rPr>
          <w:iCs/>
          <w:i/>
        </w:rPr>
        <w:t xml:space="preserve">are</w:t>
      </w:r>
      <w:r>
        <w:t xml:space="preserve">.</w:t>
      </w:r>
    </w:p>
    <w:bookmarkEnd w:id="22"/>
    <w:bookmarkEnd w:id="23"/>
    <w:bookmarkStart w:id="24" w:name="the-line-that-keeps-the-tiers-honest"/>
    <w:p>
      <w:pPr>
        <w:pStyle w:val="Heading2"/>
      </w:pPr>
      <w:r>
        <w:t xml:space="preserve">The line that keeps the tiers honest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Lite ($129)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Facilitated (engagement)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template, one-pager, checklist, quick-start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filled in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sheet (AI helps you fill the brackets)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the 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needed; Jeanna is the prompt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Readiness snapshot, day-0/day-90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mapping, decisions that stay human,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Someone senior in the room while you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Part A of the workbook never appears in the lite pack. That is the whole differentiation, and it means the sales answer to</w:t>
      </w:r>
      <w:r>
        <w:t xml:space="preserve"> </w:t>
      </w:r>
      <w:r>
        <w:t xml:space="preserve">“</w:t>
      </w:r>
      <w:r>
        <w:t xml:space="preserve">why is the engagement $15,000 when the pack is $129?</w:t>
      </w:r>
      <w:r>
        <w:t xml:space="preserve">”</w:t>
      </w:r>
      <w:r>
        <w:t xml:space="preserve"> </w:t>
      </w:r>
      <w:r>
        <w:t xml:space="preserve">is one sentence: the pack gives you the documents, the engagement changes how the business runs.</w:t>
      </w:r>
    </w:p>
    <w:bookmarkEnd w:id="24"/>
    <w:bookmarkStart w:id="25" w:name="the-social-engine-around-it"/>
    <w:p>
      <w:pPr>
        <w:pStyle w:val="Heading2"/>
      </w:pPr>
      <w:r>
        <w:t xml:space="preserve">The social engine around it</w:t>
      </w:r>
    </w:p>
    <w:p>
      <w:pPr>
        <w:pStyle w:val="FirstParagraph"/>
      </w:pPr>
      <w:r>
        <w:t xml:space="preserve">This slots into pillar 3 and 4 of the social strategy (doc 03) without adding cadence: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Capability posts</w:t>
      </w:r>
      <w:r>
        <w:t xml:space="preserve"> </w:t>
      </w:r>
      <w:r>
        <w:t xml:space="preserve">end at the free check.</w:t>
      </w:r>
      <w:r>
        <w:t xml:space="preserve"> </w:t>
      </w:r>
      <w:r>
        <w:t xml:space="preserve">“</w:t>
      </w:r>
      <w:r>
        <w:t xml:space="preserve">Ten questions, ten minutes, and you’ll know exactly where your AI risk is.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Evidence posts</w:t>
      </w:r>
      <w:r>
        <w:t xml:space="preserve"> </w:t>
      </w:r>
      <w:r>
        <w:t xml:space="preserve">(Section’s 52% anxious / 85% search-only / 3% proficient; the EY training gap) end at the free check too.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Proof posts</w:t>
      </w:r>
      <w:r>
        <w:t xml:space="preserve"> </w:t>
      </w:r>
      <w:r>
        <w:t xml:space="preserve">occasionally show a pack artefact in the wild: the one-pager on a wall, a filled risk grid (anonymised).</w:t>
      </w:r>
      <w:r>
        <w:t xml:space="preserve"> </w:t>
      </w:r>
      <w:r>
        <w:t xml:space="preserve">“</w:t>
      </w:r>
      <w:r>
        <w:t xml:space="preserve">This is what AI ground rules look like when they fit on one page.</w:t>
      </w:r>
      <w:r>
        <w:t xml:space="preserve">”</w:t>
      </w:r>
      <w:r>
        <w:t xml:space="preserve"> </w:t>
      </w:r>
      <w:r>
        <w:t xml:space="preserve">- Roughly one post in four carries the ask; the rest just teach. The check does the capturing, the email sequence does the selling, and the pack’s own follow-up offers the Working Session credit.</w:t>
      </w:r>
      <w:r>
        <w:t xml:space="preserve"> </w:t>
      </w:r>
      <w:r>
        <w:t xml:space="preserve">- The pack README’s planned free webinar (</w:t>
      </w:r>
      <w:r>
        <w:t xml:space="preserve">“</w:t>
      </w:r>
      <w:r>
        <w:t xml:space="preserve">AI ground rules for Australian small business</w:t>
      </w:r>
      <w:r>
        <w:t xml:space="preserve">”</w:t>
      </w:r>
      <w:r>
        <w:t xml:space="preserve">) becomes the mid-funnel event when there’s an audience to invite: check → webinar → pack → session. Same shape as the Claude 101 funnel, different door.</w:t>
      </w:r>
    </w:p>
    <w:bookmarkEnd w:id="25"/>
    <w:bookmarkStart w:id="26" w:name="why-this-doesnt-cannibalise"/>
    <w:p>
      <w:pPr>
        <w:pStyle w:val="Heading2"/>
      </w:pPr>
      <w:r>
        <w:t xml:space="preserve">Why this doesn’t cannibalise</w:t>
      </w:r>
    </w:p>
    <w:p>
      <w:pPr>
        <w:numPr>
          <w:ilvl w:val="0"/>
          <w:numId w:val="1001"/>
        </w:numPr>
        <w:pStyle w:val="Compact"/>
      </w:pPr>
      <w:r>
        <w:t xml:space="preserve">The buyer of the lite pack was never going to spend $1,900 cold. The pack warms them, the credit bridges them.</w:t>
      </w:r>
    </w:p>
    <w:p>
      <w:pPr>
        <w:numPr>
          <w:ilvl w:val="0"/>
          <w:numId w:val="1001"/>
        </w:numPr>
        <w:pStyle w:val="Compact"/>
      </w:pPr>
      <w:r>
        <w:t xml:space="preserve">The engagement client gets visible extra value (Part A, the scoring, the room) so the $129 pack existing publicly makes the engagement look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considered, not less. Section proves this daily: their free playbooks make the paid bootcamps look necessary, not redundant.</w:t>
      </w:r>
    </w:p>
    <w:p>
      <w:pPr>
        <w:numPr>
          <w:ilvl w:val="0"/>
          <w:numId w:val="1001"/>
        </w:numPr>
        <w:pStyle w:val="Compact"/>
      </w:pPr>
      <w:r>
        <w:t xml:space="preserve">Rule of one holds: prices live on their own pages, the pack page never restates advisory pricing, and the workbook is never sold à la carte.</w:t>
      </w:r>
    </w:p>
    <w:bookmarkEnd w:id="26"/>
    <w:bookmarkStart w:id="27" w:name="decisions-for-jeanna"/>
    <w:p>
      <w:pPr>
        <w:pStyle w:val="Heading2"/>
      </w:pPr>
      <w:r>
        <w:t xml:space="preserve">Decisions for Jeanna</w:t>
      </w:r>
    </w:p>
    <w:p>
      <w:pPr>
        <w:numPr>
          <w:ilvl w:val="0"/>
          <w:numId w:val="1002"/>
        </w:numPr>
        <w:pStyle w:val="Compact"/>
      </w:pPr>
      <w:r>
        <w:t xml:space="preserve">Green-light the lite pack launch (drafts are done; remaining work is the landing page, Stripe link and fulfilment wiring per the README’s next steps).</w:t>
      </w:r>
    </w:p>
    <w:p>
      <w:pPr>
        <w:numPr>
          <w:ilvl w:val="0"/>
          <w:numId w:val="1002"/>
        </w:numPr>
        <w:pStyle w:val="Compact"/>
      </w:pPr>
      <w:r>
        <w:t xml:space="preserve">Free check name and URL (</w:t>
      </w:r>
      <w:r>
        <w:t xml:space="preserve">“</w:t>
      </w:r>
      <w:r>
        <w:t xml:space="preserve">AI Ground Rules Check</w:t>
      </w:r>
      <w:r>
        <w:t xml:space="preserve">”</w:t>
      </w:r>
      <w:r>
        <w:t xml:space="preserve"> </w:t>
      </w:r>
      <w:r>
        <w:t xml:space="preserve">at /ground-rules is the working suggestion; needs to not collide with Scorecard naming).</w:t>
      </w:r>
    </w:p>
    <w:p>
      <w:pPr>
        <w:numPr>
          <w:ilvl w:val="0"/>
          <w:numId w:val="1002"/>
        </w:numPr>
        <w:pStyle w:val="Compact"/>
      </w:pPr>
      <w:r>
        <w:t xml:space="preserve">Confirm the $129 credit against the Working Session (and its 60-day window).</w:t>
      </w:r>
    </w:p>
    <w:p>
      <w:pPr>
        <w:numPr>
          <w:ilvl w:val="0"/>
          <w:numId w:val="1002"/>
        </w:numPr>
        <w:pStyle w:val="Compact"/>
      </w:pPr>
      <w:r>
        <w:t xml:space="preserve">Whether the original kill gates still apply, or whether funnel-step economics replace them (suggested: judge it on leads and session bookings, not pack revenue).</w:t>
      </w:r>
    </w:p>
    <w:bookmarkEnd w:id="27"/>
    <w:bookmarkStart w:id="28" w:name="build-order-when-green-lit"/>
    <w:p>
      <w:pPr>
        <w:pStyle w:val="Heading2"/>
      </w:pPr>
      <w:r>
        <w:t xml:space="preserve">Build order (when green-lit)</w:t>
      </w:r>
    </w:p>
    <w:p>
      <w:pPr>
        <w:numPr>
          <w:ilvl w:val="0"/>
          <w:numId w:val="1003"/>
        </w:numPr>
        <w:pStyle w:val="Compact"/>
      </w:pPr>
      <w:r>
        <w:t xml:space="preserve">Free check page from the Scorecard free-check pattern, wired to Brevo.</w:t>
      </w:r>
    </w:p>
    <w:p>
      <w:pPr>
        <w:numPr>
          <w:ilvl w:val="0"/>
          <w:numId w:val="1003"/>
        </w:numPr>
        <w:pStyle w:val="Compact"/>
      </w:pPr>
      <w:r>
        <w:t xml:space="preserve">Pack production formatting (Word + PDFs from the markdown masters, per the README).</w:t>
      </w:r>
    </w:p>
    <w:p>
      <w:pPr>
        <w:numPr>
          <w:ilvl w:val="0"/>
          <w:numId w:val="1003"/>
        </w:numPr>
        <w:pStyle w:val="Compact"/>
      </w:pPr>
      <w:r>
        <w:t xml:space="preserve">Landing page + Stripe + fulfilment (all existing patterns).</w:t>
      </w:r>
    </w:p>
    <w:p>
      <w:pPr>
        <w:numPr>
          <w:ilvl w:val="0"/>
          <w:numId w:val="1003"/>
        </w:numPr>
        <w:pStyle w:val="Compact"/>
      </w:pPr>
      <w:r>
        <w:t xml:space="preserve">Three launch posts (one per pillar) and the pack follow-up email with the credit offer.</w:t>
      </w:r>
    </w:p>
    <w:p>
      <w:pPr>
        <w:numPr>
          <w:ilvl w:val="0"/>
          <w:numId w:val="1003"/>
        </w:numPr>
        <w:pStyle w:val="Compact"/>
      </w:pPr>
      <w:r>
        <w:t xml:space="preserve">Webinar later, once the list justifies it.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2026-07-22T20:35:00Z</dcterms:created>
  <dcterms:modified xsi:type="dcterms:W3CDTF">2026-07-22T20:35:00Z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