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9c9f9da1f7d40d9cc3930b0640fd7f2a46f3e1"/>
    <w:p>
      <w:pPr>
        <w:pStyle w:val="Heading1"/>
      </w:pPr>
      <w:r>
        <w:t xml:space="preserve">The Alignment Quiz: self-serve digital product and audience engine</w:t>
      </w:r>
    </w:p>
    <w:p>
      <w:pPr>
        <w:pStyle w:val="FirstParagraph"/>
      </w:pPr>
      <w:r>
        <w:t xml:space="preserve">Draft v1, 22 July 2026. Prompted by the astrology</w:t>
      </w:r>
      <w:r>
        <w:t xml:space="preserve"> </w:t>
      </w:r>
      <w:r>
        <w:t xml:space="preserve">“</w:t>
      </w:r>
      <w:r>
        <w:t xml:space="preserve">7-Figure Business Blueprint</w:t>
      </w:r>
      <w:r>
        <w:t xml:space="preserve">”</w:t>
      </w:r>
      <w:r>
        <w:t xml:space="preserve"> </w:t>
      </w:r>
      <w:r>
        <w:t xml:space="preserve">funnel (screenshot on file): hyper-personalised identity product, low ticket, instant delivery, ascension path. Jeanna’s mapping: astrology becomes AI governance; the quiz becomes the self-serve front door to the Alignment Room.</w:t>
      </w:r>
    </w:p>
    <w:bookmarkStart w:id="23" w:name="the-search-data-semrush-22-july-2026"/>
    <w:p>
      <w:pPr>
        <w:pStyle w:val="Heading2"/>
      </w:pPr>
      <w:r>
        <w:t xml:space="preserve">The search data (SEMrush, 22 July 2026)</w:t>
      </w:r>
    </w:p>
    <w:bookmarkStart w:id="20" w:name="australia"/>
    <w:p>
      <w:pPr>
        <w:pStyle w:val="Heading3"/>
      </w:pPr>
      <w:r>
        <w:t xml:space="preserve">Australia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readiness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policy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$146.87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readiness 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bookmarkEnd w:id="20"/>
    <w:bookmarkStart w:id="21" w:name="united-states-scale-check"/>
    <w:p>
      <w:pPr>
        <w:pStyle w:val="Heading3"/>
      </w:pPr>
      <w:r>
        <w:t xml:space="preserve">United States (scale check)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ethics and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readiness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policy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$6.01</w:t>
            </w:r>
          </w:p>
        </w:tc>
      </w:tr>
    </w:tbl>
    <w:bookmarkEnd w:id="21"/>
    <w:bookmarkStart w:id="22" w:name="what-the-numbers-say"/>
    <w:p>
      <w:pPr>
        <w:pStyle w:val="Heading3"/>
      </w:pPr>
      <w:r>
        <w:t xml:space="preserve">What the numbers say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Lauren sweet spot exists</w:t>
      </w:r>
      <w:r>
        <w:t xml:space="preserve"> </w:t>
      </w:r>
      <w:r>
        <w:t xml:space="preserve">(&gt;10,000 volume, &lt;50 KD): AU tops out at 480/mo; the one big US term (ai ethics and governance, 22k) is KD74 and owned by certification bodies. Same verdict as the Policy Pack in July: search will not carry this product.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But the astrology blueprint doesn’t rank for anything either.</w:t>
      </w:r>
      <w:r>
        <w:t xml:space="preserve"> </w:t>
      </w:r>
      <w:r>
        <w:t xml:space="preserve">That funnel runs on social audience and quiz mechanics, not Google. Jeanna’s instinct (</w:t>
      </w:r>
      <w:r>
        <w:t xml:space="preserve">“</w:t>
      </w:r>
      <w:r>
        <w:t xml:space="preserve">this is something I can build an audience on</w:t>
      </w:r>
      <w:r>
        <w:t xml:space="preserve">”</w:t>
      </w:r>
      <w:r>
        <w:t xml:space="preserve">) is the correct reading of the data: audience-first, search-agnostic.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clicks competitors buy are expensive</w:t>
      </w:r>
      <w:r>
        <w:t xml:space="preserve"> </w:t>
      </w:r>
      <w:r>
        <w:t xml:space="preserve">($8-27 CPC;</w:t>
      </w:r>
      <w:r>
        <w:t xml:space="preserve"> </w:t>
      </w:r>
      <w:r>
        <w:t xml:space="preserve">“</w:t>
      </w:r>
      <w:r>
        <w:t xml:space="preserve">ai policy template</w:t>
      </w:r>
      <w:r>
        <w:t xml:space="preserve">”</w:t>
      </w:r>
      <w:r>
        <w:t xml:space="preserve"> </w:t>
      </w:r>
      <w:r>
        <w:t xml:space="preserve">at $146.87 in AU is extraordinary). Every email the quiz captures has real commercial value; agencies and platforms pay dearly for this exact intent.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best ratio terms are the assessment ones</w:t>
      </w:r>
      <w:r>
        <w:t xml:space="preserve"> </w:t>
      </w:r>
      <w:r>
        <w:t xml:space="preserve">(ai readiness assessment US 880/KD33; ai governance assessment US 1,000/KD20): small but cheap to rank for, and exactly what the product is. Worth owning as the landing page’s SEO layer, treated as a bonus channel, not the plan.</w:t>
      </w:r>
    </w:p>
    <w:bookmarkEnd w:id="22"/>
    <w:bookmarkEnd w:id="23"/>
    <w:bookmarkStart w:id="24" w:name="X51a14ec19e62f8ee1452ed127e9a155531a4a40"/>
    <w:p>
      <w:pPr>
        <w:pStyle w:val="Heading2"/>
      </w:pPr>
      <w:r>
        <w:t xml:space="preserve">What to steal from the astrology funnel (mechanics, not content)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Identity first.</w:t>
      </w:r>
      <w:r>
        <w:t xml:space="preserve"> </w:t>
      </w:r>
      <w:r>
        <w:t xml:space="preserve">The product is about YOU, not about AI. The astrology version personalises via natal chart; ours personalises via your answers and, crucially, your guesses about your co-leaders.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Instant, tangible artefact.</w:t>
      </w:r>
      <w:r>
        <w:t xml:space="preserve"> </w:t>
      </w:r>
      <w:r>
        <w:t xml:space="preserve">A designed personal report the moment you finish, not</w:t>
      </w:r>
      <w:r>
        <w:t xml:space="preserve"> </w:t>
      </w:r>
      <w:r>
        <w:t xml:space="preserve">“</w:t>
      </w:r>
      <w:r>
        <w:t xml:space="preserve">check your email in 3 days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free-ChatGPT objection, pre-answered.</w:t>
      </w:r>
      <w:r>
        <w:t xml:space="preserve"> </w:t>
      </w:r>
      <w:r>
        <w:t xml:space="preserve">Their page argues why the paid version beats asking ChatGPT; ours has a better answer: ChatGPT cannot tell you what your co-leaders actually think. The data is the moat, not the prompts.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Low-ticket ascension.</w:t>
      </w:r>
      <w:r>
        <w:t xml:space="preserve"> </w:t>
      </w:r>
      <w:r>
        <w:t xml:space="preserve">Free thing, cheap thing, expensive thing, each obviously feeding the next.</w:t>
      </w:r>
    </w:p>
    <w:bookmarkEnd w:id="24"/>
    <w:bookmarkStart w:id="25" w:name="the-product-the-perception-gap-quiz"/>
    <w:p>
      <w:pPr>
        <w:pStyle w:val="Heading2"/>
      </w:pPr>
      <w:r>
        <w:t xml:space="preserve">The product: the perception-gap quiz</w:t>
      </w:r>
    </w:p>
    <w:p>
      <w:pPr>
        <w:pStyle w:val="FirstParagraph"/>
      </w:pPr>
      <w:r>
        <w:t xml:space="preserve">The mechanic nobody else has, lifted straight from the Alignment Room: each leader answers twice — how AI sits with</w:t>
      </w:r>
      <w:r>
        <w:t xml:space="preserve"> </w:t>
      </w:r>
      <w:r>
        <w:rPr>
          <w:bCs/>
          <w:b/>
        </w:rPr>
        <w:t xml:space="preserve">you</w:t>
      </w:r>
      <w:r>
        <w:t xml:space="preserve">, and how you believe your</w:t>
      </w:r>
      <w:r>
        <w:t xml:space="preserve"> </w:t>
      </w:r>
      <w:r>
        <w:rPr>
          <w:bCs/>
          <w:b/>
        </w:rPr>
        <w:t xml:space="preserve">fellow leaders</w:t>
      </w:r>
      <w:r>
        <w:t xml:space="preserve"> </w:t>
      </w:r>
      <w:r>
        <w:t xml:space="preserve">would answer. The gap between those two is the product.</w:t>
      </w:r>
    </w:p>
    <w:p>
      <w:pPr>
        <w:pStyle w:val="BodyText"/>
      </w:pPr>
      <w:r>
        <w:rPr>
          <w:bCs/>
          <w:b/>
        </w:rPr>
        <w:t xml:space="preserve">Tier 0, free: the individual quiz (lead magnet).</w:t>
      </w:r>
      <w:r>
        <w:t xml:space="preserve"> </w:t>
      </w:r>
      <w:r>
        <w:t xml:space="preserve">~10 questions, 5 minutes. Instant personal report: your AI leadership archetype (identity, shareable), your confidence and worry profile, your predicted team gap, one practical next step. Email-gated report, joins the Brief list. The archetype layer is the astrology ingredient: The Accelerator, The Guardian, The Translator, The Measurer — names for how you lead on AI (final set to be written properly; Ikigai already proved the archetype pattern works for vooee).</w:t>
      </w:r>
      <w:r>
        <w:t xml:space="preserve"> </w:t>
      </w:r>
      <w:r>
        <w:rPr>
          <w:bCs/>
          <w:b/>
        </w:rPr>
        <w:t xml:space="preserve">Built-in referral loop:</w:t>
      </w:r>
      <w:r>
        <w:t xml:space="preserve"> </w:t>
      </w:r>
      <w:r>
        <w:t xml:space="preserve">the report’s natural CTA is</w:t>
      </w:r>
      <w:r>
        <w:t xml:space="preserve"> </w:t>
      </w:r>
      <w:r>
        <w:t xml:space="preserve">“</w:t>
      </w:r>
      <w:r>
        <w:t xml:space="preserve">You think your leadership team disagrees on X. Invite them and find out.</w:t>
      </w:r>
      <w:r>
        <w:t xml:space="preserve">”</w:t>
      </w:r>
      <w:r>
        <w:t xml:space="preserve"> </w:t>
      </w:r>
      <w:r>
        <w:t xml:space="preserve">Each completion recruits the rest of a leadership team. The quiz spreads sideways through organisations, which is audience-building with intent, not reach.</w:t>
      </w:r>
    </w:p>
    <w:p>
      <w:pPr>
        <w:pStyle w:val="BodyText"/>
      </w:pPr>
      <w:r>
        <w:rPr>
          <w:bCs/>
          <w:b/>
        </w:rPr>
        <w:t xml:space="preserve">Tier 1, paid: the Leadership Alignment Snapshot ($99-$149 + GST).</w:t>
      </w:r>
      <w:r>
        <w:t xml:space="preserve"> </w:t>
      </w:r>
      <w:r>
        <w:t xml:space="preserve">Unlocked when 3+ leaders from one business complete it: the aggregated report — real gaps vs perceived gaps, the confidence spread, the five-answers-to-why moment, a draft governance statement template, and the line that sells the room:</w:t>
      </w:r>
      <w:r>
        <w:t xml:space="preserve"> </w:t>
      </w:r>
      <w:r>
        <w:t xml:space="preserve">“</w:t>
      </w:r>
      <w:r>
        <w:t xml:space="preserve">You now know where you disagree. Resolving it is a half day.</w:t>
      </w:r>
      <w:r>
        <w:t xml:space="preserve">”</w:t>
      </w:r>
      <w:r>
        <w:t xml:space="preserve"> </w:t>
      </w:r>
      <w:r>
        <w:t xml:space="preserve">Credited against the $1,900 Alignment Room within 60 days (same bridge as doc 07).</w:t>
      </w:r>
    </w:p>
    <w:p>
      <w:pPr>
        <w:pStyle w:val="BodyText"/>
      </w:pPr>
      <w:r>
        <w:rPr>
          <w:bCs/>
          <w:b/>
        </w:rPr>
        <w:t xml:space="preserve">Tier 2: the facilitated Alignment Room ($1,900), then the ladder as built.</w:t>
      </w:r>
    </w:p>
    <w:p>
      <w:pPr>
        <w:pStyle w:val="BodyText"/>
      </w:pPr>
      <w:r>
        <w:t xml:space="preserve">The self-serve report deliberately ends at</w:t>
      </w:r>
      <w:r>
        <w:t xml:space="preserve"> </w:t>
      </w:r>
      <w:r>
        <w:rPr>
          <w:iCs/>
          <w:i/>
        </w:rPr>
        <w:t xml:space="preserve">diagnosis</w:t>
      </w:r>
      <w:r>
        <w:t xml:space="preserve">. It names the tensions; it does not resolve them. Resolution is the facilitated product. That line protects the $1,900 exactly the way doc 07’s</w:t>
      </w:r>
      <w:r>
        <w:t xml:space="preserve"> </w:t>
      </w:r>
      <w:r>
        <w:t xml:space="preserve">“</w:t>
      </w:r>
      <w:r>
        <w:t xml:space="preserve">documents vs transformation</w:t>
      </w:r>
      <w:r>
        <w:t xml:space="preserve">”</w:t>
      </w:r>
      <w:r>
        <w:t xml:space="preserve"> </w:t>
      </w:r>
      <w:r>
        <w:t xml:space="preserve">line protects the engagement.</w:t>
      </w:r>
    </w:p>
    <w:bookmarkEnd w:id="25"/>
    <w:bookmarkStart w:id="26" w:name="pricing-logic"/>
    <w:p>
      <w:pPr>
        <w:pStyle w:val="Heading2"/>
      </w:pPr>
      <w:r>
        <w:t xml:space="preserve">Pricing logic</w:t>
      </w:r>
    </w:p>
    <w:p>
      <w:pPr>
        <w:numPr>
          <w:ilvl w:val="0"/>
          <w:numId w:val="1003"/>
        </w:numPr>
        <w:pStyle w:val="Compact"/>
      </w:pPr>
      <w:r>
        <w:t xml:space="preserve">Don’t charge for the individual quiz: charging kills the referral loop, and the loop is the growth engine.</w:t>
      </w:r>
    </w:p>
    <w:p>
      <w:pPr>
        <w:numPr>
          <w:ilvl w:val="0"/>
          <w:numId w:val="1003"/>
        </w:numPr>
        <w:pStyle w:val="Compact"/>
      </w:pPr>
      <w:r>
        <w:t xml:space="preserve">Charge at the team layer, where value is undeniable and the buyer is a business, not a person. $99-$149 is impulse-approvable on a company card, materially above the $129 pack (which can become a bonus inside the Snapshot rather than a competing SKU).</w:t>
      </w:r>
    </w:p>
    <w:p>
      <w:pPr>
        <w:numPr>
          <w:ilvl w:val="0"/>
          <w:numId w:val="1003"/>
        </w:numPr>
        <w:pStyle w:val="Compact"/>
      </w:pPr>
      <w:r>
        <w:t xml:space="preserve">The astrology blueprint sells at consumer low-ticket; B2B equivalents price the aggregation, not the entertainment. The Snapshot is a diagnostic a CEO forwards to their board, which is worth more than $27.</w:t>
      </w:r>
    </w:p>
    <w:bookmarkEnd w:id="26"/>
    <w:bookmarkStart w:id="27" w:name="X21ece46b0d20596dbcc0f1e3a043d1a93ee9e0b"/>
    <w:p>
      <w:pPr>
        <w:pStyle w:val="Heading2"/>
      </w:pPr>
      <w:r>
        <w:t xml:space="preserve">Why this is the audience play (Jeanna’s thesis, endorsed)</w:t>
      </w:r>
    </w:p>
    <w:p>
      <w:pPr>
        <w:numPr>
          <w:ilvl w:val="0"/>
          <w:numId w:val="1004"/>
        </w:numPr>
        <w:pStyle w:val="Compact"/>
      </w:pPr>
      <w:r>
        <w:t xml:space="preserve">The Scorecard proves she can run check-to-report funnels; Ikigai proves the archetype quiz pattern; the Alignment Room provides the questions and the brand story. This is assembly, not invention.</w:t>
      </w:r>
    </w:p>
    <w:p>
      <w:pPr>
        <w:numPr>
          <w:ilvl w:val="0"/>
          <w:numId w:val="1004"/>
        </w:numPr>
        <w:pStyle w:val="Compact"/>
      </w:pPr>
      <w:r>
        <w:t xml:space="preserve">Every governance-flavoured social post (pillars 3 and 4, doc 03) gets a conversion object that isn’t a checkout:</w:t>
      </w:r>
      <w:r>
        <w:t xml:space="preserve"> </w:t>
      </w:r>
      <w:r>
        <w:t xml:space="preserve">“</w:t>
      </w:r>
      <w:r>
        <w:t xml:space="preserve">take the quiz, see your gap.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The aggregated, anonymised data becomes proprietary content within months:</w:t>
      </w:r>
      <w:r>
        <w:t xml:space="preserve"> </w:t>
      </w:r>
      <w:r>
        <w:t xml:space="preserve">“</w:t>
      </w:r>
      <w:r>
        <w:t xml:space="preserve">across N Australian leadership teams, the average confidence gap is X; 7 in 10 leaders think their peers are more optimistic than they are.</w:t>
      </w:r>
      <w:r>
        <w:t xml:space="preserve">”</w:t>
      </w:r>
      <w:r>
        <w:t xml:space="preserve"> </w:t>
      </w:r>
      <w:r>
        <w:t xml:space="preserve">Nobody in AU has that dataset. It feeds LinkedIn, the Brief, PR, and eventually the Section conversation (doc 04’s</w:t>
      </w:r>
      <w:r>
        <w:t xml:space="preserve"> </w:t>
      </w:r>
      <w:r>
        <w:t xml:space="preserve">“</w:t>
      </w:r>
      <w:r>
        <w:t xml:space="preserve">bring them AU data</w:t>
      </w:r>
      <w:r>
        <w:t xml:space="preserve">”</w:t>
      </w:r>
      <w:r>
        <w:t xml:space="preserve"> </w:t>
      </w:r>
      <w:r>
        <w:t xml:space="preserve">play).</w:t>
      </w:r>
    </w:p>
    <w:bookmarkEnd w:id="27"/>
    <w:bookmarkStart w:id="28" w:name="honest-cautions"/>
    <w:p>
      <w:pPr>
        <w:pStyle w:val="Heading2"/>
      </w:pPr>
      <w:r>
        <w:t xml:space="preserve">Honest cautions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Kohler echo.</w:t>
      </w:r>
      <w:r>
        <w:t xml:space="preserve"> </w:t>
      </w:r>
      <w:r>
        <w:t xml:space="preserve">This is another packaging move with zero engine sales. Sequence: AIPT proposal ships this week regardless; quiz build decisions land</w:t>
      </w:r>
      <w:r>
        <w:t xml:space="preserve"> </w:t>
      </w:r>
      <w:r>
        <w:t xml:space="preserve">“</w:t>
      </w:r>
      <w:r>
        <w:t xml:space="preserve">the week AIPT signs</w:t>
      </w:r>
      <w:r>
        <w:t xml:space="preserve">”</w:t>
      </w:r>
      <w:r>
        <w:t xml:space="preserve"> </w:t>
      </w:r>
      <w:r>
        <w:t xml:space="preserve">alongside the pack decision the board already scheduled. The quiz is the doc 07 rung 0, upgraded, not a new commitment queue-jumping the invoice.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B2B sharing physics.</w:t>
      </w:r>
      <w:r>
        <w:t xml:space="preserve"> </w:t>
      </w:r>
      <w:r>
        <w:t xml:space="preserve">Executives don’t share quizzes like consumers share star signs. The invite-your-team loop replaces public sharing with intentional sharing, which is better suited to this buyer, but it needs testing before scaling spend.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quiz brand, not three.</w:t>
      </w:r>
      <w:r>
        <w:t xml:space="preserve"> </w:t>
      </w:r>
      <w:r>
        <w:t xml:space="preserve">Ikigai (individual work), Scorecard (website), Alignment Quiz (leadership). Distinct jobs, but the site’s Resources shelf must present them as one family or the brand reads scattered.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Names and claims.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constitution</w:t>
      </w:r>
      <w:r>
        <w:t xml:space="preserve">”</w:t>
      </w:r>
      <w:r>
        <w:t xml:space="preserve"> </w:t>
      </w:r>
      <w:r>
        <w:t xml:space="preserve">language client-facing (Allie Miller check still open); archetype names need a collision check; and the quiz must carry the same not-legal-advice line as the pack.</w:t>
      </w:r>
    </w:p>
    <w:bookmarkEnd w:id="28"/>
    <w:bookmarkStart w:id="29" w:name="build-path-all-existing-patterns"/>
    <w:p>
      <w:pPr>
        <w:pStyle w:val="Heading2"/>
      </w:pPr>
      <w:r>
        <w:t xml:space="preserve">Build path (all existing patterns)</w:t>
      </w:r>
    </w:p>
    <w:p>
      <w:pPr>
        <w:numPr>
          <w:ilvl w:val="0"/>
          <w:numId w:val="1006"/>
        </w:numPr>
        <w:pStyle w:val="Compact"/>
      </w:pPr>
      <w:r>
        <w:t xml:space="preserve">Question set: lift from the Alignment Room app, add the perception-gap second pass, write the archetypes properly.</w:t>
      </w:r>
    </w:p>
    <w:p>
      <w:pPr>
        <w:numPr>
          <w:ilvl w:val="0"/>
          <w:numId w:val="1006"/>
        </w:numPr>
        <w:pStyle w:val="Compact"/>
      </w:pPr>
      <w:r>
        <w:t xml:space="preserve">Individual quiz + instant report: Ikigai’s flow and plumbing (Netlify + Brevo + Airtable), vooee design system.</w:t>
      </w:r>
    </w:p>
    <w:p>
      <w:pPr>
        <w:numPr>
          <w:ilvl w:val="0"/>
          <w:numId w:val="1006"/>
        </w:numPr>
        <w:pStyle w:val="Compact"/>
      </w:pPr>
      <w:r>
        <w:t xml:space="preserve">Snapshot: aggregation + Claude synthesis over a team’s completions; Stripe link; the app prototype’s facilitator view is the template.</w:t>
      </w:r>
    </w:p>
    <w:p>
      <w:pPr>
        <w:numPr>
          <w:ilvl w:val="0"/>
          <w:numId w:val="1006"/>
        </w:numPr>
        <w:pStyle w:val="Compact"/>
      </w:pPr>
      <w:r>
        <w:t xml:space="preserve">Launch: three LinkedIn posts (pillar cadence), quiz as the CTA; measure completions, invites sent, snapshots sold, rooms booked.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2026-08-04T01:10:08Z</dcterms:created>
  <dcterms:modified xsi:type="dcterms:W3CDTF">2026-08-04T01:10:08Z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