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90-day-ai-workbook"/>
    <w:p>
      <w:pPr>
        <w:pStyle w:val="Heading1"/>
      </w:pPr>
      <w:r>
        <w:t xml:space="preserve">The 90-Day AI Workbook</w:t>
      </w:r>
    </w:p>
    <w:p>
      <w:pPr>
        <w:pStyle w:val="FirstParagraph"/>
      </w:pPr>
      <w:r>
        <w:rPr>
          <w:bCs/>
          <w:b/>
        </w:rPr>
        <w:t xml:space="preserve">Draft v2 · 22 July 2026 · The leave-behind for the 90-Day Engagement</w:t>
      </w:r>
    </w:p>
    <w:p>
      <w:pPr>
        <w:pStyle w:val="BodyText"/>
      </w:pPr>
      <w:r>
        <w:t xml:space="preserve">A working document for the leadership team. It starts life in the $1,900 AI Working Session, gets filled in across the 90-Day Engagement, and stays in the business when Jeanna steps back. Not a report about the client; a document the client writes, with Jeanna beside them. Part A is the workbook; Part B is the governance pack the business adopts along the way (policy template, staff one-pager, rollout checklist).</w:t>
      </w:r>
    </w:p>
    <w:p>
      <w:pPr>
        <w:pStyle w:val="BodyText"/>
      </w:pPr>
      <w:r>
        <w:rPr>
          <w:bCs/>
          <w:b/>
        </w:rPr>
        <w:t xml:space="preserve">Sources combined (for Jeanna’s reference, not for the client copy):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AI Policy Starter Pack in full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Products/AI Policy Pack/drafts/</w:t>
      </w:r>
      <w:r>
        <w:t xml:space="preserve">, built 4 July 2026): the AI Usage Policy template with its</w:t>
      </w:r>
      <w:r>
        <w:t xml:space="preserve"> </w:t>
      </w:r>
      <w:r>
        <w:t xml:space="preserve">“</w:t>
      </w:r>
      <w:r>
        <w:t xml:space="preserve">why this matters</w:t>
      </w:r>
      <w:r>
        <w:t xml:space="preserve">”</w:t>
      </w:r>
      <w:r>
        <w:t xml:space="preserve"> </w:t>
      </w:r>
      <w:r>
        <w:t xml:space="preserve">teaching notes, the NIST AI RMF four steps in plain English, the risk and speed grid, the four tests, the ten-question security self-assessment, the incident plan, the staff one-pager, the ten-step rollout checklist and the adviser questions. This is the governance work from the niche-product experiment after Lauren Dallas’s 30 June webinar; SEMrush put</w:t>
      </w:r>
      <w:r>
        <w:t xml:space="preserve"> </w:t>
      </w:r>
      <w:r>
        <w:t xml:space="preserve">“</w:t>
      </w:r>
      <w:r>
        <w:t xml:space="preserve">ai policy template</w:t>
      </w:r>
      <w:r>
        <w:t xml:space="preserve">”</w:t>
      </w:r>
      <w:r>
        <w:t xml:space="preserve"> </w:t>
      </w:r>
      <w:r>
        <w:t xml:space="preserve">at 50 searches a month in AU, and it was redirected to training material. Folding it in here gives it the distribution it deserved: inside a $15,000 engagement instead of behind a $129 checkout. All Vooee IP, reused freely.</w:t>
      </w:r>
      <w:r>
        <w:t xml:space="preserve"> </w:t>
      </w:r>
      <w:r>
        <w:t xml:space="preserve">- The AI Enabled Leader participant workbooks (readiness snapshot, governance responsibility matrix, opportunity mapping, better-questions review, journal pattern). Copyright BetterHRx and Beth Barratt-Browne. Concepts adapted in fresh wording below;</w:t>
      </w:r>
      <w:r>
        <w:t xml:space="preserve"> </w:t>
      </w:r>
      <w:r>
        <w:rPr>
          <w:bCs/>
          <w:b/>
        </w:rPr>
        <w:t xml:space="preserve">Jeanna to confirm what the partnership terms allow before anything closer than adaptation.</w:t>
      </w:r>
      <w:r>
        <w:t xml:space="preserve"> </w:t>
      </w:r>
      <w:r>
        <w:t xml:space="preserve">- Section’s 1-Year AI Enablement Checklist (30/90/365 staging, benchmarks, cut vs create). Cited where quoted, structure not copied.</w:t>
      </w:r>
      <w:r>
        <w:t xml:space="preserve"> </w:t>
      </w:r>
      <w:r>
        <w:t xml:space="preserve">- Vooee’s own 4D framework and engagement structure.</w:t>
      </w:r>
    </w:p>
    <w:p>
      <w:r>
        <w:pict>
          <v:rect style="width:0;height:1.5pt" o:hralign="center" o:hrstd="t" o:hr="t"/>
        </w:pict>
      </w:r>
    </w:p>
    <w:bookmarkEnd w:id="20"/>
    <w:bookmarkStart w:id="45" w:name="part-a-the-workbook"/>
    <w:p>
      <w:pPr>
        <w:pStyle w:val="Heading1"/>
      </w:pPr>
      <w:r>
        <w:t xml:space="preserve">Part A · The workbook</w:t>
      </w:r>
    </w:p>
    <w:p>
      <w:r>
        <w:pict>
          <v:rect style="width:0;height:1.5pt" o:hralign="center" o:hrstd="t" o:hr="t"/>
        </w:pict>
      </w:r>
    </w:p>
    <w:bookmarkStart w:id="21" w:name="how-to-use-this-workbook"/>
    <w:p>
      <w:pPr>
        <w:pStyle w:val="Heading2"/>
      </w:pPr>
      <w:r>
        <w:t xml:space="preserve">How to use this workbook</w:t>
      </w:r>
    </w:p>
    <w:p>
      <w:pPr>
        <w:pStyle w:val="FirstParagraph"/>
      </w:pPr>
      <w:r>
        <w:t xml:space="preserve">One copy, owned by one person, written in by the whole leadership team. Sections 1 and 2 are filled in during the Working Session. Sections 3 to 5 are worked through across the ninety days. Section 6 is yours to keep running after that. If a page stays blank, that is information too; bring it to the next working session.</w:t>
      </w:r>
    </w:p>
    <w:p>
      <w:r>
        <w:pict>
          <v:rect style="width:0;height:1.5pt" o:hralign="center" o:hrstd="t" o:hr="t"/>
        </w:pict>
      </w:r>
    </w:p>
    <w:bookmarkEnd w:id="21"/>
    <w:bookmarkStart w:id="26" w:name="X09554ac8c3cd1107e27c5de242808d1b187927e"/>
    <w:p>
      <w:pPr>
        <w:pStyle w:val="Heading2"/>
      </w:pPr>
      <w:r>
        <w:t xml:space="preserve">Section 1 · Where we are (Working Session, first hour)</w:t>
      </w:r>
    </w:p>
    <w:p>
      <w:pPr>
        <w:pStyle w:val="FirstParagraph"/>
      </w:pPr>
      <w:r>
        <w:rPr>
          <w:bCs/>
          <w:b/>
        </w:rPr>
        <w:t xml:space="preserve">The business: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Accountable owner for AI: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Engagement start: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Day 90 lands on:</w:t>
      </w:r>
      <w:r>
        <w:t xml:space="preserve"> </w:t>
      </w:r>
      <w:r>
        <w:t xml:space="preserve">______________</w:t>
      </w:r>
    </w:p>
    <w:bookmarkStart w:id="22" w:name="honest-baseline"/>
    <w:p>
      <w:pPr>
        <w:pStyle w:val="Heading3"/>
      </w:pPr>
      <w:r>
        <w:t xml:space="preserve">Honest baseline</w:t>
      </w:r>
    </w:p>
    <w:p>
      <w:pPr>
        <w:pStyle w:val="FirstParagraph"/>
      </w:pPr>
      <w:r>
        <w:t xml:space="preserve">Each leader answers separately, then compare.</w:t>
      </w:r>
      <w:r>
        <w:t xml:space="preserve"> </w:t>
      </w:r>
      <w:r>
        <w:t xml:space="preserve">1. What would you love AI to take off your plate?</w:t>
      </w:r>
      <w:r>
        <w:t xml:space="preserve"> </w:t>
      </w:r>
      <w:r>
        <w:t xml:space="preserve">2. What worries you about it, honestly?</w:t>
      </w:r>
      <w:r>
        <w:t xml:space="preserve"> </w:t>
      </w:r>
      <w:r>
        <w:t xml:space="preserve">3. Where is the business most exposed if we get this wrong?</w:t>
      </w:r>
      <w:r>
        <w:t xml:space="preserve"> </w:t>
      </w:r>
      <w:r>
        <w:t xml:space="preserve">4. Confidence leading AI change, 1 to 10, and why that number.</w:t>
      </w:r>
    </w:p>
    <w:bookmarkEnd w:id="22"/>
    <w:bookmarkStart w:id="23" w:name="the-snapshot"/>
    <w:p>
      <w:pPr>
        <w:pStyle w:val="Heading3"/>
      </w:pPr>
      <w:r>
        <w:t xml:space="preserve">The snapshot</w:t>
      </w:r>
    </w:p>
    <w:p>
      <w:pPr>
        <w:pStyle w:val="FirstParagraph"/>
      </w:pPr>
      <w:r>
        <w:t xml:space="preserve">Score each area now, in pencil. You will score it again at day 90.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(1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score is telling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agreement on what AI is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rules (who decides, what is off limits)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(do people feel safe saying they use AI?)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 (can people use it well, not just use it?)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and data (right tools, safe data)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value (is it showing up in the work?)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A note from the research: only around 1% of executives call their organisation AI mature, and the constraint they name is leadership, not technology (McKinsey, 2025). Low scores here are normal. Unexamined scores are the risk.</w:t>
      </w:r>
    </w:p>
    <w:bookmarkEnd w:id="23"/>
    <w:bookmarkStart w:id="24" w:name="our-ai-position-in-one-paragraph"/>
    <w:p>
      <w:pPr>
        <w:pStyle w:val="Heading3"/>
      </w:pPr>
      <w:r>
        <w:t xml:space="preserve">Our AI position, in one paragraph</w:t>
      </w:r>
    </w:p>
    <w:p>
      <w:pPr>
        <w:pStyle w:val="FirstParagraph"/>
      </w:pPr>
      <w:r>
        <w:t xml:space="preserve">Why does this business want AI at all? Write it in plain language a new hire would understand. If five leaders would write five different paragraphs, that is the first thing the ninety days fixes.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One deliberate choice:</w:t>
      </w:r>
      <w:r>
        <w:t xml:space="preserve"> </w:t>
      </w:r>
      <w:r>
        <w:t xml:space="preserve">is AI here mainly to</w:t>
      </w:r>
      <w:r>
        <w:t xml:space="preserve"> </w:t>
      </w:r>
      <w:r>
        <w:rPr>
          <w:iCs/>
          <w:i/>
        </w:rPr>
        <w:t xml:space="preserve">save time</w:t>
      </w:r>
      <w:r>
        <w:t xml:space="preserve"> </w:t>
      </w:r>
      <w:r>
        <w:t xml:space="preserve">or mainly to</w:t>
      </w:r>
      <w:r>
        <w:t xml:space="preserve"> </w:t>
      </w:r>
      <w:r>
        <w:rPr>
          <w:iCs/>
          <w:i/>
        </w:rPr>
        <w:t xml:space="preserve">grow the business</w:t>
      </w:r>
      <w:r>
        <w:t xml:space="preserve">? (You can want both; choose which one gets the first ninety days.) Section calls this cut vs create; the point is to stop the strategy being everything at once.</w:t>
      </w:r>
    </w:p>
    <w:bookmarkEnd w:id="24"/>
    <w:bookmarkStart w:id="25" w:name="decisions-that-stay-human"/>
    <w:p>
      <w:pPr>
        <w:pStyle w:val="Heading3"/>
      </w:pPr>
      <w:r>
        <w:t xml:space="preserve">Decisions that stay human</w:t>
      </w:r>
    </w:p>
    <w:p>
      <w:pPr>
        <w:pStyle w:val="FirstParagraph"/>
      </w:pPr>
      <w:r>
        <w:t xml:space="preserve">List the decisions AI never makes in this business, whatever the tool promises. Hiring, pricing exceptions, client advice, anything touching health or money or reputation. Short list, absolute.</w:t>
      </w:r>
      <w:r>
        <w:t xml:space="preserve"> </w:t>
      </w:r>
      <w:r>
        <w:t xml:space="preserve">1. ______________________________________________</w:t>
      </w:r>
      <w:r>
        <w:t xml:space="preserve"> </w:t>
      </w:r>
      <w:r>
        <w:t xml:space="preserve">2. ______________________________________________</w:t>
      </w:r>
      <w:r>
        <w:t xml:space="preserve"> </w:t>
      </w:r>
      <w:r>
        <w:t xml:space="preserve">3. 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ction-2-the-ground-rules-days-1-to-30"/>
    <w:p>
      <w:pPr>
        <w:pStyle w:val="Heading2"/>
      </w:pPr>
      <w:r>
        <w:t xml:space="preserve">Section 2 · The ground rules (days 1 to 30)</w:t>
      </w:r>
    </w:p>
    <w:p>
      <w:pPr>
        <w:pStyle w:val="FirstParagraph"/>
      </w:pPr>
      <w:r>
        <w:rPr>
          <w:iCs/>
          <w:i/>
        </w:rPr>
        <w:t xml:space="preserve">This is the Govern step of the NIST AI Risk Management Framework, the international standard this workbook quietly follows. You do not need to know the framework; the four sections track its four functions.</w:t>
      </w:r>
    </w:p>
    <w:bookmarkStart w:id="27" w:name="who-owns-what"/>
    <w:p>
      <w:pPr>
        <w:pStyle w:val="Heading3"/>
      </w:pPr>
      <w:r>
        <w:t xml:space="preserve">Who owns what</w:t>
      </w:r>
    </w:p>
    <w:p>
      <w:pPr>
        <w:pStyle w:val="FirstParagraph"/>
      </w:pPr>
      <w:r>
        <w:t xml:space="preserve">Ambiguity is the actual risk. Names, not roles.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written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AI decisions?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AI risk and incidents?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the policy and keeps it current?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the people side (training, concerns, morale)?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what-tools-are-we-actually-using"/>
    <w:p>
      <w:pPr>
        <w:pStyle w:val="Heading3"/>
      </w:pPr>
      <w:r>
        <w:t xml:space="preserve">What tools are we actually using?</w:t>
      </w:r>
    </w:p>
    <w:p>
      <w:pPr>
        <w:pStyle w:val="FirstParagraph"/>
      </w:pPr>
      <w:r>
        <w:t xml:space="preserve">Ask everyone what they have used for work in the past month, personal accounts included. Expect surprises; that is the point of asking.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/ parked /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the-hard-lines"/>
    <w:p>
      <w:pPr>
        <w:pStyle w:val="Heading3"/>
      </w:pPr>
      <w:r>
        <w:t xml:space="preserve">The hard lines</w:t>
      </w:r>
    </w:p>
    <w:p>
      <w:pPr>
        <w:pStyle w:val="FirstParagraph"/>
      </w:pPr>
      <w:r>
        <w:t xml:space="preserve">Five</w:t>
      </w:r>
      <w:r>
        <w:t xml:space="preserve"> </w:t>
      </w:r>
      <w:r>
        <w:t xml:space="preserve">“</w:t>
      </w:r>
      <w:r>
        <w:t xml:space="preserve">we do not</w:t>
      </w:r>
      <w:r>
        <w:t xml:space="preserve">”</w:t>
      </w:r>
      <w:r>
        <w:t xml:space="preserve"> </w:t>
      </w:r>
      <w:r>
        <w:t xml:space="preserve">rules. Edit to this business, keep them short, keep them absolute.</w:t>
      </w:r>
      <w:r>
        <w:t xml:space="preserve"> </w:t>
      </w:r>
      <w:r>
        <w:t xml:space="preserve">1. We do not put client-identifying information into unapproved tools.</w:t>
      </w:r>
      <w:r>
        <w:t xml:space="preserve"> </w:t>
      </w:r>
      <w:r>
        <w:t xml:space="preserve">2. We do not send AI-written work to a client without a human reading it and owning it.</w:t>
      </w:r>
      <w:r>
        <w:t xml:space="preserve"> </w:t>
      </w:r>
      <w:r>
        <w:t xml:space="preserve">3. We do not ______________________________________________</w:t>
      </w:r>
      <w:r>
        <w:t xml:space="preserve"> </w:t>
      </w:r>
      <w:r>
        <w:t xml:space="preserve">4. We do not ______________________________________________</w:t>
      </w:r>
      <w:r>
        <w:t xml:space="preserve"> </w:t>
      </w:r>
      <w:r>
        <w:t xml:space="preserve">5. We do not ______________________________________________</w:t>
      </w:r>
    </w:p>
    <w:bookmarkEnd w:id="29"/>
    <w:bookmarkStart w:id="30" w:name="where-do-we-need-a-human-gate"/>
    <w:p>
      <w:pPr>
        <w:pStyle w:val="Heading3"/>
      </w:pPr>
      <w:r>
        <w:t xml:space="preserve">Where do we need a human gate?</w:t>
      </w:r>
    </w:p>
    <w:p>
      <w:pPr>
        <w:pStyle w:val="FirstParagraph"/>
      </w:pPr>
      <w:r>
        <w:t xml:space="preserve">Place every AI use on this grid. Most will sit bottom-left; that is fine, leave them alone. The top-right corner is where rules come before launch, not after the first incident.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Human in the loop anyway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before a human sees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stakes</w:t>
            </w:r>
            <w:r>
              <w:t xml:space="preserve"> </w:t>
            </w:r>
            <w:r>
              <w:t xml:space="preserve">(money, health, hiring, advice, reputation)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approves every single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 and a kill switch before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stakes</w:t>
            </w:r>
            <w:r>
              <w:t xml:space="preserve"> </w:t>
            </w:r>
            <w:r>
              <w:t xml:space="preserve">(internal, recoverable)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Spot-check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monthly</w:t>
            </w:r>
          </w:p>
        </w:tc>
      </w:tr>
    </w:tbl>
    <w:bookmarkEnd w:id="30"/>
    <w:bookmarkStart w:id="31" w:name="what-this-month-produces"/>
    <w:p>
      <w:pPr>
        <w:pStyle w:val="Heading3"/>
      </w:pPr>
      <w:r>
        <w:t xml:space="preserve">What this month produces</w:t>
      </w:r>
    </w:p>
    <w:p>
      <w:pPr>
        <w:pStyle w:val="FirstParagraph"/>
      </w:pPr>
      <w:r>
        <w:t xml:space="preserve">By day 30 the business has an</w:t>
      </w:r>
      <w:r>
        <w:t xml:space="preserve"> </w:t>
      </w:r>
      <w:r>
        <w:rPr>
          <w:bCs/>
          <w:b/>
        </w:rPr>
        <w:t xml:space="preserve">adopted AI Usage Policy</w:t>
      </w:r>
      <w:r>
        <w:t xml:space="preserve">: the template in Part B, brackets filled in during the working sessions, reviewed by the business’s own adviser, dated and owned. The staff one-pager (also Part B) goes on the wall, and the team gets its fifteen-minute walkthrough. The ten-step rollout checklist in Part B is the runsheet; steps 1 to 8 belong to this month, steps 9 and 10 are Sections 4 and beyond.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ection-3-build-and-prove-days-31-to-60"/>
    <w:p>
      <w:pPr>
        <w:pStyle w:val="Heading2"/>
      </w:pPr>
      <w:r>
        <w:t xml:space="preserve">Section 3 · Build and prove (days 31 to 60)</w:t>
      </w:r>
    </w:p>
    <w:bookmarkStart w:id="33" w:name="choosing-what-to-build"/>
    <w:p>
      <w:pPr>
        <w:pStyle w:val="Heading3"/>
      </w:pPr>
      <w:r>
        <w:t xml:space="preserve">Choosing what to build</w:t>
      </w:r>
    </w:p>
    <w:p>
      <w:pPr>
        <w:pStyle w:val="FirstParagraph"/>
      </w:pPr>
      <w:r>
        <w:t xml:space="preserve">For each candidate project, answer five questions before anyone opens a tool. The fifth is the one that saves you money.</w:t>
      </w:r>
      <w:r>
        <w:t xml:space="preserve"> </w:t>
      </w:r>
      <w:r>
        <w:t xml:space="preserve">1. What problem are we solving?</w:t>
      </w:r>
      <w:r>
        <w:t xml:space="preserve"> </w:t>
      </w:r>
      <w:r>
        <w:t xml:space="preserve">2. What value does it create, and how would we measure it?</w:t>
      </w:r>
      <w:r>
        <w:t xml:space="preserve"> </w:t>
      </w:r>
      <w:r>
        <w:t xml:space="preserve">3. What capability does it build in our people?</w:t>
      </w:r>
      <w:r>
        <w:t xml:space="preserve"> </w:t>
      </w:r>
      <w:r>
        <w:t xml:space="preserve">4. What risk does it carry, and can we govern it with the grid above?</w:t>
      </w:r>
      <w:r>
        <w:t xml:space="preserve"> </w:t>
      </w:r>
      <w:r>
        <w:t xml:space="preserve">5. What are we deliberately choosing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to pursue this quarter?</w:t>
      </w:r>
    </w:p>
    <w:bookmarkEnd w:id="33"/>
    <w:bookmarkStart w:id="34" w:name="where-the-effort-goes"/>
    <w:p>
      <w:pPr>
        <w:pStyle w:val="Heading3"/>
      </w:pPr>
      <w:r>
        <w:t xml:space="preserve">Where the effort goes</w:t>
      </w:r>
    </w:p>
    <w:p>
      <w:pPr>
        <w:pStyle w:val="FirstParagraph"/>
      </w:pPr>
      <w:r>
        <w:t xml:space="preserve">AI effort tends to pool at individual productivity and stall there. Note where each project sits; make sure at least one lives above the first row.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person’s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team’s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whole 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business itself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the-four-tests"/>
    <w:p>
      <w:pPr>
        <w:pStyle w:val="Heading3"/>
      </w:pPr>
      <w:r>
        <w:t xml:space="preserve">The four tests</w:t>
      </w:r>
    </w:p>
    <w:p>
      <w:pPr>
        <w:pStyle w:val="FirstParagraph"/>
      </w:pPr>
      <w:r>
        <w:t xml:space="preserve">Before trusting any tool with something that matters. Skip for bottom-left-grid uses.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do the job?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real examples from our business, done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follow our rules?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handled per our policy; outputs meet our sector’s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at the edges?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the weird cases, it fails safely, not confidently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survive a real week?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parallel with the normal process before switching</w:t>
            </w:r>
          </w:p>
        </w:tc>
      </w:tr>
    </w:tbl>
    <w:p>
      <w:pPr>
        <w:pStyle w:val="BodyText"/>
      </w:pPr>
      <w:r>
        <w:t xml:space="preserve">Keep a one-line record of what was tested. That record is what makes diligence visible to a client, an insurer, or an adviser.</w:t>
      </w:r>
    </w:p>
    <w:bookmarkEnd w:id="35"/>
    <w:bookmarkStart w:id="36" w:name="the-security-check"/>
    <w:p>
      <w:pPr>
        <w:pStyle w:val="Heading3"/>
      </w:pPr>
      <w:r>
        <w:t xml:space="preserve">The security check</w:t>
      </w:r>
    </w:p>
    <w:p>
      <w:pPr>
        <w:pStyle w:val="FirstParagraph"/>
      </w:pPr>
      <w:r>
        <w:t xml:space="preserve">Ten questions, yes / no / not sure. Every no and not sure goes on the action list. (Identify: do we know every tool in use, and what data each can see? Protect: strong passwords and MFA on work AI accounts; sensitive data kept out of unapproved tools. Detect: would we notice a tool doing something wrong; does someone check automations on a schedule? Respond: does everyone know who to tell, same day; do we know when a slip becomes a notifiable breach? Recover: could we operate with the tool switched off; after an incident, do we change something?)</w:t>
      </w:r>
    </w:p>
    <w:p>
      <w:pPr>
        <w:pStyle w:val="BodyText"/>
      </w:pPr>
      <w:r>
        <w:t xml:space="preserve">Score: ____ / 10 yes · Action list started: ☐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ection-4-make-it-stick-days-61-to-90"/>
    <w:p>
      <w:pPr>
        <w:pStyle w:val="Heading2"/>
      </w:pPr>
      <w:r>
        <w:t xml:space="preserve">Section 4 · Make it stick (days 61 to 90)</w:t>
      </w:r>
    </w:p>
    <w:bookmarkStart w:id="38" w:name="the-routine"/>
    <w:p>
      <w:pPr>
        <w:pStyle w:val="Heading3"/>
      </w:pPr>
      <w:r>
        <w:t xml:space="preserve">The routine</w:t>
      </w:r>
    </w:p>
    <w:p>
      <w:pPr>
        <w:numPr>
          <w:ilvl w:val="0"/>
          <w:numId w:val="1001"/>
        </w:numPr>
        <w:pStyle w:val="Compact"/>
      </w:pPr>
      <w:r>
        <w:t xml:space="preserve">Every client-facing output read by a person who owns it. No exceptions; this is the one rule that never bends.</w:t>
      </w:r>
    </w:p>
    <w:p>
      <w:pPr>
        <w:numPr>
          <w:ilvl w:val="0"/>
          <w:numId w:val="1001"/>
        </w:numPr>
        <w:pStyle w:val="Compact"/>
      </w:pPr>
      <w:r>
        <w:t xml:space="preserve">Spot-check frequencies from the grid (weekly for drafts, monthly for automations).</w:t>
      </w:r>
    </w:p>
    <w:p>
      <w:pPr>
        <w:numPr>
          <w:ilvl w:val="0"/>
          <w:numId w:val="1001"/>
        </w:numPr>
        <w:pStyle w:val="Compact"/>
      </w:pPr>
      <w:r>
        <w:t xml:space="preserve">A quarterly look at what tools have access to; a policy review every six months.</w:t>
      </w:r>
    </w:p>
    <w:bookmarkEnd w:id="38"/>
    <w:bookmarkStart w:id="39" w:name="the-bad-day"/>
    <w:p>
      <w:pPr>
        <w:pStyle w:val="Heading3"/>
      </w:pPr>
      <w:r>
        <w:t xml:space="preserve">The bad day</w:t>
      </w:r>
    </w:p>
    <w:p>
      <w:pPr>
        <w:pStyle w:val="FirstParagraph"/>
      </w:pPr>
      <w:r>
        <w:t xml:space="preserve">Four moves, on the wall:</w:t>
      </w:r>
      <w:r>
        <w:t xml:space="preserve"> </w:t>
      </w:r>
      <w:r>
        <w:rPr>
          <w:bCs/>
          <w:b/>
        </w:rPr>
        <w:t xml:space="preserve">stop → tell → assess → fix and record.</w:t>
      </w:r>
      <w:r>
        <w:t xml:space="preserve"> </w:t>
      </w:r>
      <w:r>
        <w:t xml:space="preserve">Pre-brief the adviser on when a data slip becomes a notifiable breach under the Privacy Act; deadlines apply, and mid-incident is the wrong time to learn them.</w:t>
      </w:r>
    </w:p>
    <w:bookmarkEnd w:id="39"/>
    <w:bookmarkStart w:id="40" w:name="champions-and-the-library"/>
    <w:p>
      <w:pPr>
        <w:pStyle w:val="Heading3"/>
      </w:pPr>
      <w:r>
        <w:t xml:space="preserve">Champions and the library</w:t>
      </w:r>
    </w:p>
    <w:p>
      <w:pPr>
        <w:numPr>
          <w:ilvl w:val="0"/>
          <w:numId w:val="1002"/>
        </w:numPr>
        <w:pStyle w:val="Compact"/>
      </w:pPr>
      <w:r>
        <w:t xml:space="preserve">Who are our two or three AI champions (the people others actually ask)? ______________</w:t>
      </w:r>
    </w:p>
    <w:p>
      <w:pPr>
        <w:numPr>
          <w:ilvl w:val="0"/>
          <w:numId w:val="1002"/>
        </w:numPr>
        <w:pStyle w:val="Compact"/>
      </w:pPr>
      <w:r>
        <w:t xml:space="preserve">Where do working prompts, projects and workflows live so they outlast the person who built them? ______________</w:t>
      </w:r>
    </w:p>
    <w:p>
      <w:pPr>
        <w:numPr>
          <w:ilvl w:val="0"/>
          <w:numId w:val="1002"/>
        </w:numPr>
        <w:pStyle w:val="Compact"/>
      </w:pPr>
      <w:r>
        <w:t xml:space="preserve">What is our version of showing the work: a monthly show-and-tell, a shared channel, five minutes in the team meeting? ______________</w:t>
      </w:r>
    </w:p>
    <w:bookmarkEnd w:id="40"/>
    <w:bookmarkStart w:id="41" w:name="the-numbers-we-will-watch"/>
    <w:p>
      <w:pPr>
        <w:pStyle w:val="Heading3"/>
      </w:pPr>
      <w:r>
        <w:t xml:space="preserve">The numbers we will watch</w:t>
      </w:r>
    </w:p>
    <w:p>
      <w:pPr>
        <w:pStyle w:val="FirstParagraph"/>
      </w:pPr>
      <w:r>
        <w:t xml:space="preserve">Enterprise benchmarks, translated to our size (Section, 2026, cited for context, not worship):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Using it weekly:</w:t>
      </w:r>
      <w:r>
        <w:t xml:space="preserve"> </w:t>
      </w:r>
      <w:r>
        <w:t xml:space="preserve">how many of us touch AI in real work every week? (Their bar: 80% of the workforce.)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Using it well:</w:t>
      </w:r>
      <w:r>
        <w:t xml:space="preserve"> </w:t>
      </w:r>
      <w:r>
        <w:t xml:space="preserve">how many could show someone else a working workflow, not just a chat window? (Their bar: 80% proficient, 20% expert.)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Something always running:</w:t>
      </w:r>
      <w:r>
        <w:t xml:space="preserve"> </w:t>
      </w:r>
      <w:r>
        <w:t xml:space="preserve">does each person have at least one task quietly handled in the background?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using AI weekly in real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who could teach one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tasks running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section-5-day-90-honestly"/>
    <w:p>
      <w:pPr>
        <w:pStyle w:val="Heading2"/>
      </w:pPr>
      <w:r>
        <w:t xml:space="preserve">Section 5 · Day 90, honestly</w:t>
      </w:r>
    </w:p>
    <w:p>
      <w:pPr>
        <w:pStyle w:val="FirstParagraph"/>
      </w:pPr>
      <w:r>
        <w:t xml:space="preserve">Re-score the snapshot in Section 1, same pencil, same honesty. Then:</w:t>
      </w:r>
      <w:r>
        <w:t xml:space="preserve"> </w:t>
      </w:r>
      <w:r>
        <w:t xml:space="preserve">- What moved the most, and what moved it?</w:t>
      </w:r>
      <w:r>
        <w:t xml:space="preserve"> </w:t>
      </w:r>
      <w:r>
        <w:t xml:space="preserve">- What did not move, and is that a problem or a choice?</w:t>
      </w:r>
      <w:r>
        <w:t xml:space="preserve"> </w:t>
      </w:r>
      <w:r>
        <w:t xml:space="preserve">- One thing worth scaling next quarter: ______________</w:t>
      </w:r>
      <w:r>
        <w:t xml:space="preserve"> </w:t>
      </w:r>
      <w:r>
        <w:t xml:space="preserve">- One risk that scaling would create: ______________</w:t>
      </w:r>
      <w:r>
        <w:t xml:space="preserve"> </w:t>
      </w:r>
      <w:r>
        <w:t xml:space="preserve">- One commitment leadership makes for the next ninety days: ______________</w:t>
      </w:r>
    </w:p>
    <w:p>
      <w:pPr>
        <w:pStyle w:val="BodyText"/>
      </w:pPr>
      <w:r>
        <w:rPr>
          <w:iCs/>
          <w:i/>
        </w:rPr>
        <w:t xml:space="preserve">The engagement ends here. The workbook does not.</w:t>
      </w:r>
    </w:p>
    <w:p>
      <w:r>
        <w:pict>
          <v:rect style="width:0;height:1.5pt" o:hralign="center" o:hrstd="t" o:hr="t"/>
        </w:pict>
      </w:r>
    </w:p>
    <w:bookmarkEnd w:id="43"/>
    <w:bookmarkStart w:id="44" w:name="X015566951fc32d9ea8ef5a50d2ed216e5d5730f"/>
    <w:p>
      <w:pPr>
        <w:pStyle w:val="Heading2"/>
      </w:pPr>
      <w:r>
        <w:t xml:space="preserve">Section 6 · The running pages (after Jeanna steps back)</w:t>
      </w:r>
    </w:p>
    <w:p>
      <w:pPr>
        <w:pStyle w:val="FirstParagraph"/>
      </w:pPr>
      <w:r>
        <w:t xml:space="preserve">A page per month, three lines each, kept by the accountable owner:</w:t>
      </w:r>
      <w:r>
        <w:t xml:space="preserve"> </w:t>
      </w:r>
      <w:r>
        <w:t xml:space="preserve">- One action we took: ______________</w:t>
      </w:r>
      <w:r>
        <w:t xml:space="preserve"> </w:t>
      </w:r>
      <w:r>
        <w:t xml:space="preserve">- One conversation we had: ______________</w:t>
      </w:r>
      <w:r>
        <w:t xml:space="preserve"> </w:t>
      </w:r>
      <w:r>
        <w:t xml:space="preserve">- One question for next month: ______________</w:t>
      </w:r>
    </w:p>
    <w:p>
      <w:pPr>
        <w:pStyle w:val="BodyText"/>
      </w:pPr>
      <w:r>
        <w:t xml:space="preserve">When three months of pages look the same, book a working session; that is what plateau looks like.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art-b-the-governance-pack"/>
    <w:p>
      <w:pPr>
        <w:pStyle w:val="Heading1"/>
      </w:pPr>
      <w:r>
        <w:t xml:space="preserve">Part B · The governance pack</w:t>
      </w:r>
    </w:p>
    <w:p>
      <w:pPr>
        <w:pStyle w:val="FirstParagraph"/>
      </w:pPr>
      <w:r>
        <w:t xml:space="preserve">The three documents below slot in verbatim from</w:t>
      </w:r>
      <w:r>
        <w:t xml:space="preserve"> </w:t>
      </w:r>
      <w:r>
        <w:rPr>
          <w:rStyle w:val="VerbatimChar"/>
        </w:rPr>
        <w:t xml:space="preserve">Products/AI Policy Pack/drafts/</w:t>
      </w:r>
      <w:r>
        <w:t xml:space="preserve"> </w:t>
      </w:r>
      <w:r>
        <w:t xml:space="preserve">(one source of truth; don’t fork the text into this file):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AI Usage Policy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01-ai-usage-policy-template.md</w:t>
      </w:r>
      <w:r>
        <w:t xml:space="preserve">, ~10pp). Twelve sections, every [bracket] a leadership decision, with the grey</w:t>
      </w:r>
      <w:r>
        <w:t xml:space="preserve"> </w:t>
      </w:r>
      <w:r>
        <w:t xml:space="preserve">“</w:t>
      </w:r>
      <w:r>
        <w:t xml:space="preserve">why this matters</w:t>
      </w:r>
      <w:r>
        <w:t xml:space="preserve">”</w:t>
      </w:r>
      <w:r>
        <w:t xml:space="preserve"> </w:t>
      </w:r>
      <w:r>
        <w:t xml:space="preserve">notes kept in: purpose and scope, accountability, approved tools, acceptable use with the five hard no’s, data rules (APP 8, onshore processing), telling clients, human review, security basics, the four-move incident plan, training, review cadence, definitions. In the engagement this is filled in live during the day 1 to 30 sessions rather than alone on a weekend; the</w:t>
      </w:r>
      <w:r>
        <w:t xml:space="preserve"> </w:t>
      </w:r>
      <w:r>
        <w:t xml:space="preserve">“</w:t>
      </w:r>
      <w:r>
        <w:t xml:space="preserve">why this matters</w:t>
      </w:r>
      <w:r>
        <w:t xml:space="preserve">”</w:t>
      </w:r>
      <w:r>
        <w:t xml:space="preserve"> </w:t>
      </w:r>
      <w:r>
        <w:t xml:space="preserve">notes become talking points, which is what they always wanted to be.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staff one-pager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03-staff-one-pager-and-rollout-checklist.md</w:t>
      </w:r>
      <w:r>
        <w:t xml:space="preserve">, page 1). Do / Don’t / Unsure, prints A4 for the wall. Filled in from the adopted policy at the day-30 mark.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ten-step rollout checklist</w:t>
      </w:r>
      <w:r>
        <w:t xml:space="preserve"> </w:t>
      </w:r>
      <w:r>
        <w:t xml:space="preserve">(same file, page 2). Becomes the engagement runsheet for month one; steps 9 (set the routine) and 10 (train for fluency) hand over to workbook Sections 4 and 6.</w:t>
      </w:r>
    </w:p>
    <w:p>
      <w:pPr>
        <w:pStyle w:val="FirstParagraph"/>
      </w:pPr>
      <w:r>
        <w:t xml:space="preserve">One edit needed for the engagement version: the pack’s clause 10 and checklist step 10 plug</w:t>
      </w:r>
      <w:r>
        <w:t xml:space="preserve"> </w:t>
      </w:r>
      <w:r>
        <w:t xml:space="preserve">“</w:t>
      </w:r>
      <w:r>
        <w:t xml:space="preserve">Vooee’s Working with AI programme</w:t>
      </w:r>
      <w:r>
        <w:t xml:space="preserve">”</w:t>
      </w:r>
      <w:r>
        <w:t xml:space="preserve"> </w:t>
      </w:r>
      <w:r>
        <w:t xml:space="preserve">as the fluency path. Inside the 90-Day Engagement that reads like an ad for something the client already bought; repoint it to the coaching happening inside the engagement itself.</w:t>
      </w:r>
    </w:p>
    <w:p>
      <w:pPr>
        <w:pStyle w:val="BodyText"/>
      </w:pPr>
      <w:r>
        <w:t xml:space="preserve">The pack’s fourth document (</w:t>
      </w:r>
      <w:r>
        <w:rPr>
          <w:rStyle w:val="VerbatimChar"/>
        </w:rPr>
        <w:t xml:space="preserve">04-customise-with-ai-prompt-sheet.md</w:t>
      </w:r>
      <w:r>
        <w:t xml:space="preserve">) stays out of the leave-behind; it is the self-serve substitute for having Jeanna in the room, which this client has.</w:t>
      </w:r>
    </w:p>
    <w:p>
      <w:r>
        <w:pict>
          <v:rect style="width:0;height:1.5pt" o:hralign="center" o:hrstd="t" o:hr="t"/>
        </w:pict>
      </w:r>
    </w:p>
    <w:bookmarkStart w:id="46" w:name="the-fine-print"/>
    <w:p>
      <w:pPr>
        <w:pStyle w:val="Heading2"/>
      </w:pPr>
      <w:r>
        <w:t xml:space="preserve">The fine print</w:t>
      </w:r>
    </w:p>
    <w:p>
      <w:pPr>
        <w:pStyle w:val="FirstParagraph"/>
      </w:pPr>
      <w:r>
        <w:t xml:space="preserve">This workbook is general information and an educational starting point, not legal advice. Before adopting any policy it touches, have it reviewed by a qualified legal or HR professional who knows the business and sector. Frameworks referenced: NIST AI Risk Management Framework; the National AI Centre’s voluntary responsible AI practices; benchmarks cited from Section (sectionai.com) and McKinsey with attribution.</w:t>
      </w:r>
    </w:p>
    <w:p>
      <w:pPr>
        <w:pStyle w:val="BodyText"/>
      </w:pPr>
      <w:r>
        <w:t xml:space="preserve">© Vooee Pty Ltd · vooee.au</w:t>
      </w:r>
    </w:p>
    <w:bookmarkEnd w:id="46"/>
    <w:bookmarkEnd w:id="47"/>
    <w:bookmarkStart w:id="48" w:name="Xccec75b6f2936a3d6be6c23d1065fe2bc9c0a23"/>
    <w:p>
      <w:pPr>
        <w:pStyle w:val="Heading1"/>
      </w:pPr>
      <w:r>
        <w:t xml:space="preserve">Production notes (not part of the client document)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IP check before this ships:</w:t>
      </w:r>
      <w:r>
        <w:t xml:space="preserve"> </w:t>
      </w:r>
      <w:r>
        <w:t xml:space="preserve">the readiness snapshot, ownership matrix, opportunity levels and journal pattern are adapted, reworded and restructured from the AI Enabled Leader workbooks (BetterHRx and Beth Barratt-Browne). The adaptation is substantial, but Jeanna should confirm the partnership terms, or simply confirm Beth is comfortable, before this is client-facing. The NIST material is Vooee’s own Policy Pack work and carries no such question.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Policy Pack question is now a product decision.</w:t>
      </w:r>
      <w:r>
        <w:t xml:space="preserve"> </w:t>
      </w:r>
      <w:r>
        <w:t xml:space="preserve">The pack’s whole content lives inside this leave-behind (Part B verbatim, quick-start material woven through Part A). Options: (a) retire the $129 pack and let the governance work live only inside engagements, (b) keep both, with the pack as the self-serve rung below the Working Session (its webinar funnel</w:t>
      </w:r>
      <w:r>
        <w:t xml:space="preserve"> </w:t>
      </w:r>
      <w:r>
        <w:t xml:space="preserve">“</w:t>
      </w:r>
      <w:r>
        <w:t xml:space="preserve">AI ground rules for Australian small business</w:t>
      </w:r>
      <w:r>
        <w:t xml:space="preserve">”</w:t>
      </w:r>
      <w:r>
        <w:t xml:space="preserve"> </w:t>
      </w:r>
      <w:r>
        <w:t xml:space="preserve">then feeds the advisory ladder). The 4 July kill gates were never run; this is the moment to decide, and (b) costs nothing extra since the drafts are done.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A4 Word or fillable PDF, vooee branding, generous white space for handwriting. The snapshot and grid pages want a full page each. Cover carries client name and dates like a logbook.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pencil rule:</w:t>
      </w:r>
      <w:r>
        <w:t xml:space="preserve"> </w:t>
      </w:r>
      <w:r>
        <w:t xml:space="preserve">day-0 and day-90 scores in the same table is the whole emotional arc of the leave-behind; keep them side by side in any redesign.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was deliberately left out:</w:t>
      </w:r>
      <w:r>
        <w:t xml:space="preserve"> </w:t>
      </w:r>
      <w:r>
        <w:t xml:space="preserve">Section’s agents-per-employee ratio (hype-adjacent for this audience), the six-domain</w:t>
      </w:r>
      <w:r>
        <w:t xml:space="preserve"> </w:t>
      </w:r>
      <w:r>
        <w:t xml:space="preserve">“</w:t>
      </w:r>
      <w:r>
        <w:t xml:space="preserve">AI Readiness Index</w:t>
      </w:r>
      <w:r>
        <w:t xml:space="preserve">”</w:t>
      </w:r>
      <w:r>
        <w:t xml:space="preserve"> </w:t>
      </w:r>
      <w:r>
        <w:t xml:space="preserve">language (too corporate for vooee’s voice), and any trademark-style naming of frameworks. The 4D framework gets its mention through the coaching, not this document.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2026-07-22T20:30:44Z</dcterms:created>
  <dcterms:modified xsi:type="dcterms:W3CDTF">2026-07-22T20:30:44Z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