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CSC143 Weekly Problems 9 and 10</w:t>
      </w:r>
    </w:p>
    <w:p w:rsidR="00000000" w:rsidDel="00000000" w:rsidP="00000000" w:rsidRDefault="00000000" w:rsidRPr="00000000">
      <w:pPr>
        <w:contextualSpacing w:val="0"/>
      </w:pPr>
      <w:r w:rsidDel="00000000" w:rsidR="00000000" w:rsidRPr="00000000">
        <w:rPr>
          <w:rtl w:val="0"/>
        </w:rPr>
        <w:t xml:space="preserve">John Voorhess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Variable Man by Philip K. Dick - 6296 unique words</w:t>
      </w:r>
    </w:p>
    <w:p w:rsidR="00000000" w:rsidDel="00000000" w:rsidP="00000000" w:rsidRDefault="00000000" w:rsidRPr="00000000">
      <w:pPr>
        <w:contextualSpacing w:val="0"/>
      </w:pPr>
      <w:r w:rsidDel="00000000" w:rsidR="00000000" w:rsidRPr="00000000">
        <w:rPr>
          <w:rtl w:val="0"/>
        </w:rPr>
        <w:t xml:space="preserve">The Second Variety by Philip K. Dick - 4217 unique words</w:t>
      </w:r>
    </w:p>
    <w:p w:rsidR="00000000" w:rsidDel="00000000" w:rsidP="00000000" w:rsidRDefault="00000000" w:rsidRPr="00000000">
      <w:pPr>
        <w:contextualSpacing w:val="0"/>
      </w:pPr>
      <w:r w:rsidDel="00000000" w:rsidR="00000000" w:rsidRPr="00000000">
        <w:rPr>
          <w:rtl w:val="0"/>
        </w:rPr>
        <w:t xml:space="preserve">Each share 2471 words in common.</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045"/>
        <w:gridCol w:w="2820"/>
        <w:gridCol w:w="1860"/>
        <w:tblGridChange w:id="0">
          <w:tblGrid>
            <w:gridCol w:w="1635"/>
            <w:gridCol w:w="3045"/>
            <w:gridCol w:w="2820"/>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Trial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Compares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Elapsed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Man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Variety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Variety (TreeSet)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Man (TreeSet)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(TreeSet)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(TreeSet)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(HashSet)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(HashSet)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(TreeSet)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(TreeSet)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(HashSet)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Variety (TreeSet)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Variable Man (TreeSet)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number of unique words resulting from each of these searches should remain constant, each trial whose results are detailed in the table above should be expected to run for an approximately equal length of time when comparing similar Set object types. However, it is apparent that when comparing HashSet to HashSet and TreeSet to TreeSet, the object through which we are iterating makes a noticeable difference in elapsed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results suggest that HashSets offer faster results for iteration and that iterating through the smaller of the two objects being compared should be considered best practice for optimizing code execution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