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="2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52"/>
          <w:szCs w:val="52"/>
          <w:rtl w:val="0"/>
        </w:rPr>
        <w:t xml:space="preserve">Руководство по стилю перевода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color w:val="555555"/>
          <w:rtl w:val="0"/>
        </w:rPr>
        <w:t xml:space="preserve">Machine Learning for Trading, 3-е издание — версия 1.14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Статус: принятая версия 1.14 нормативного комплекта этапа 02. Руководство применяется вместе с таблицей «02.01 — Англо-русский глоссарий… — v1.14», документом «02.03 — Проверка глоссария и стиля на пилотных фрагментах… — v1.14». Комплект содержит 307 основных записей, 41 сокращение и 129 записей кода; добавлены 28 доказанных элементов главы 10. RQ-0007, RQ-0008, RQ-0009 и RQ-0012 закрыты. Независимая приёмка версии 1.14 выполнена; результат оформлен положительным актом 02.04 v1.14. Этап 02 принят. Перевод книги и отдельных глав не начат.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Назначение и область применения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Руководство задаёт единые правила перевода всех 27 глав, вводных и заключительных материалов, таблиц, формул, подписей, примечаний и перекрёстных ссылок. Оно не повторяет построчно глоссарий: конкретные эквиваленты и их статусы хранятся в Google Таблице 02.01, а здесь закреплены правила выбора и оформления.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Главная цель — естественный, ясный и технически точный русский текст без изменения математического, финансового и программного смысла.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Утверждённый эквивалент используется последовательно во всех главах в пределах одного и того же значения.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Любое исключение должно иметь контекст, источник и запись в журнале изменений; импровизированное чередование синонимов запрещено.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этапе 02 иллюстрации не перерисовываются и полный перевод главы не выполняется.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Приоритет источников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EPUB — основной источник структуры и текста: порядок блоков, заголовки, абзацы, таблицы, подписи, примечания, inline-code и перекрёстные ссылки.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— визуальный эталон: печатная пагинация, расположение формул, таблиц и рисунков, подписи, переносы, взаимное положение элементов и внешний вид математических объектов.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Официальный GitHub Stefan Jansen — приоритетный источник программного кода, имён каталогов, ноутбуков, файлов, библиотек, функций, классов, методов, параметров, переменных и API.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Если источники расходятся, нельзя молча выбирать удобный вариант. Расхождение фиксируется с точным указанием EPUB, PDF и/или GitHub, затем оценивается его влияние на смысл, работоспособность кода и оформление. Решение заносится в журнал; при неустранимой неоднозначности термин получает статус «требует решения».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3. Базовый принцип перевода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Передавать смысл, логику и функцию фрагмента, а не английский порядок слов.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Разрешается перестраивать предложение, менять порядок частей и делить длинное английское предложение на несколько русских, если ни один смысловой элемент не утрачен.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Сохранять степень уверенности автора: may, might, can, typically, approximately и аналогичные маркеры нельзя усиливать до категорического утверждения.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Сохранять причинно-следственные связи, условия, ограничения, противопоставления, отрицания и область применимости.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Не добавлять выводы, рекомендации, оценки или факты, которых нет у автора. Неясность оригинала нельзя скрывать выдуманным уточнением. Нельзя добавлять даже контекстуально очевидный объект действия, если он отсутствует в переводимом фрагменте и не требуется русской грамматикой. Пояснение, выведенное из более широкого контекста, помещается в редакторское примечание, а не в перевод.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4. Что запрещено в русском тексте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Подстрочник и буквальное копирование английского синтаксиса.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Необоснованные англицизмы, если существует точный и употребительный русский вариант.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Канцеляризмы, искусственный пассивный залог и тяжёлые цепочки существительных.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Стилистическое чередование синонимов для уже утверждённого термина.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Замена точного профессионального термина бытовым словом только ради «простоты».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Самовольное сокращение повторов, если повтор выполняет логическую или учебную функцию.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Добавление в перевод подписи, заголовка или краткого элемента подразумеваемого объекта, которого нет в оригинале.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Включение редакторского пояснения непосредственно в поле пробного перевода.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5. Термины, значения и статусы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Перед переводом термина определяется его предметное значение. Одинаковое английское слово в финансах, статистике, коде, RL и GenAI может требовать разных русских эквивалентов. Значения return, policy, agent, benchmark, execution, order, outcome, bias, spread и других контекстно зависимых слов ведутся отдельными строками.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утверждено — вариант обязателен для указанного значения;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предварительно — вариант можно использовать только с явной пометкой и последующей редакторской проверкой;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требует решения — окончательный вариант не выбран и не должен появляться в пилотном переводе как утверждённый.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Контекстный пример обязан содержать точный термин или непосредственно подтверждать его словарную форму и заявленное значение; тематически близкий фрагмент доказательством не считается. Определение не может быть шире или уже подтверждающего контекста без отдельно указанного дополнительного источника. Если термин отсутствует в EPUB и официальном GitHub, он не сохраняется автоматически: смежная редакционная запись допускается лишь при документированном основании и со статусом «предварительно». В v1.14 утверждены обязательные формы: latency — «задержка» во всех контекстах; latency-critical — «с жёсткими требованиями к задержке»; agentic — «агентный»; agentic workflow — «агентный рабочий процесс»; confounder — «смешивающий фактор». Формы «латентность», «агентивный» и «конфаундер» не используются. GL-0219, GL-0202 и GL-0104 имеют статус «утверждено» и высокую уверенность.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6. Первое и последующие упоминания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В переводе при первом существенном упоминании даётся русский термин, затем при необходимости английский оригинал и официальное сокращение в круглых скобках. Редакционное раскрытие, которого нет у автора, не приписывается исходному тексту.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В таблице сокращений отдельно фиксируются first_occurrence — первое самостоятельное употребление обозначения в соответствующем предметном значении — и first_full_expansion — первое авторское раскрытие вида full form (ABBR). Дополнительные доказательные поля first_full_form, first_standalone_abbr, first_author_expansion, exact_author_form, xhtml_file, chapter_section, epub_page, physical_pdf_page, printed_pdf_page, homonymy и audit_result хранят три события раздельно. Если авторского раскрытия нет, в first_full_expansion и first_author_expansion записывается «авторское раскрытие не обнаружено», а не пустое значение. Поскольку EPUB является reflowable-изданием без page-list, поле epub_page прямо фиксирует отсутствие стабильной страницы и использует XHTML/Kobo-локатор; страницы PDF указываются отдельно как физическая и печатная.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При последующих упоминаниях используется утверждённый русский вариант или международное сокращение без повторного раскрытия. Русское сокращение не создаётся без профессионального основания; омонимы IV и GBM различаются по предметному контексту и отдельным ID. Полного авторского раскрытия вида full form (ABBR) не обнаружено для IV в значении instrumental variable, CVaR, MDP, API, REST и MLOps; самостоятельное употребление после раскрытия не обнаружено для DiD и IOC. Эти факты фиксируются как источник редакторского решения и не дают права приписывать добавленное раскрытие автору.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Официальные названия моделей, продуктов и библиотек сохраняют регистр и написание; пояснение переводится отдельно.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7. Модели, алгоритмы, метрики и продукты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Официальное имя модели или продукта не переименовывается: N-BEATS, XGBoost, LightGBM, CatBoost, SHAP, RAG и другие обозначения сохраняются.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Родовое описание переводится: gradient boosting machine — «машина градиентного бустинга»; официальная марка остаётся без изменений.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Математические метрики переводятся последовательно; международные обозначения AUC, ROC, PCA, VaR, CVaR, TWAP, SHAP и аналогичные сокращения сохраняются. Для всех 41 активной строки отдельно проверяются первая полная форма, первое самостоятельное обозначение и первое авторское раскрытие по EPUB и PDF. В доказательных полях сохраняется точное авторское написание, в частности Value-at-Risk (VaR), Difference in differences (DiD), Gradient Boosting Machines (GBMs), Large language models (LLMs) и SHapley Additive exPlanations (SHAP), даже если нормативный заголовок строки нормализован. AUC раскрывается как area under the curve, а тип кривой указывается по контексту; PBO не вводится как авторское сокращение, поскольку в книге подтверждена только полная фраза probability of backtest overfitting.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расхождении имени в книге и репозитории фиксируются обе формы и определяется, является ли различие опечаткой, версией API или иной реализацией.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8. Программный код и inline-code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Идентификаторы, команды, переменные, параметры, пути, имена файлов, конфигурационные значения, URL, тикеры, названия пакетов и синтаксис сохраняются посимвольно: их нельзя переводить, транслитерировать, склонять или типографически нормализовать.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Внутри кода нельзя типографически заменять кавычки, апострофы, дефисы, минусы, пробелы или отступы.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Inline-code сохраняет моноширинное оформление и точное написание.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Если исходный фрагмент состоит только из идентификатора, команды, имени файла или пути, поле перевода должно содержать только этот элемент в неизменном виде. Пояснения «не переводится», «сохраняется без изменений», сведения о местонахождении файла и результаты проверки по GitHub указываются в редакторском примечании, но не добавляются к переводу.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Комментарии допускается переводить только после проверки, что это не нарушает запуск, учебный смысл и сопоставление с GitHub.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Всегда различаются официальное имя репозитория, его URL, имя корневой папки локальной копии, имя файла и полный относительный путь внутри копии. Имя файла нельзя автоматически разбирать на самостоятельные глоссарные термины, а подтверждение имени не доказывает полный путь. Имя локальной папки зависит от способа клонирования или распаковки и не подменяет официальное имя репозитория. Расхождения между книжным примером и репозиторием фиксируются отдельно; код не «исправляется молча».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 официальный репозиторий — stefan-jansen/machine-learning-for-trading; URL — https://github.com/stefan-jansen/machine-learning-for-trading; локальная корневая папка зависит от способа клонирования; CODE-0018 обозначает имя файла 03_hybrid_retrieval.py, а CODE-0123 — полный относительный путь 22_rag_financial_research/03_hybrid_retrieval.py. Во фрагменте, содержащем только имя файла, применяется CODE-0018; CODE-0123 может фиксироваться как отдельно проверенная связанная запись, но не как применённая к имени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9. Формулы и математические обозначения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Сохранять переменные, греческие символы, индексы, степени, знаки операций, скобки, номера формул и числовые значения.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переводить математические переменные и не подменять латинские символы кириллическими.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менять десятичную точку внутри формулы, программного вывода, датасета или исходной таблицы.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Математический минус сохраняется как оператор; длинное тире русского текста не подставляется в формулу.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Пояснение к формуле переводится естественно, но каждое обозначение сверяется с EPUB и визуальным эталоном PDF.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10. Финансовая и торговая терминология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в финансовом значении — «доходность»; ключевое слово return в коде не переводится.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на бирже — «заявка»; order как последовательность — «порядок».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execution в торговле — «исполнение заявки»; программное значение передаётся как «выполнение программы» только при прямом кодовом контексте. В книге самостоятельная словарная форма execution (code) не подтверждена и остаётся предварительной.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bid в связном финансовом тексте передаётся как «цена покупки», ask — как «цена продажи»; при описании верхнего уровня книги заявок допускаются более полные варианты «лучшая цена покупки» и «лучшая цена продажи». Идентификаторы bid и ask в формулах, коде, именах полей и программном выводе сохраняются без перевода.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Показатели доходности, риска, стоимости и объёма нельзя упрощать до бытовых аналогов, меняющих финансовый смысл.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11. Числа, проценты, валюты, даты и единицы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Значение, знак, точность и число значащих разрядов исходного числа сохраняются. Округление, пересчёт, смена масштаба и превращение отрицательного значения в положительное или наоборот без указания автора запрещены.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В обычном русском тексте десятичный разделитель — запятая, а разряды разделяются неразрывными пробелами: 12 500,75. В формулах, коде, программном выводе, путях, параметрах, таблицах исходных данных и датасетах сохраняются исходные точка, разделители и машинный формат.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Между числом и знаком процента ставится неразрывный пробел: 5 %. В диапазоне знак ставится один раз после правой границы, если относится ко всему диапазону: 5–10 %. Значение процента не пересчитывается и не заменяется долей.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В связном русском тексте разряды денежной суммы разделяются неразрывными пробелами: 1 250 000 рублей; десятичный разделитель — запятая: 125,50 доллара США, если это не искажает исходные данные. В финансовом и техническом контексте коды USD, EUR и GBP сохраняются и ставятся после суммы через неразрывный пробел: 125,50 USD. Символы $, €, £ сохраняются только в точной цитате, интерфейсе, коде или исходных данных и остаются на исходной позиции; валюта, номинал, знак, точность, тикеры, валютные пары и программные идентификаторы не меняются.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Диапазоны значений оформляются коротким тире без пробелов: 10–15, 2020–2025 годы, −2–5 %. Математический минус −, дефис и тире диапазона не смешиваются; единица или знак повторяется у обеих границ, если без повтора возникает двусмысленность.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Научная запись, значащие цифры и порядок величины сохраняются: 1.5e-4 в коде остаётся без изменений, а в связном тексте допускается 1,5 × 10⁻⁴, если это не меняет исходное обозначение и согласовано для всего издания.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Между числом и единицей измерения ставится неразрывный пробел: 20 мс, 3 ГБ. Обозначение единицы, регистр, степень и приставка сохраняются; машинно читаемые значения и литералы не переформатируются.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В связном тексте дата оформляется как 8 августа 2026 года; в компактных таблицах — 08.08.2026; ISO-формат 2026-08-08 сохраняется в коде, путях, параметрах, логах и датасетах. Время — в 24-часовом формате 14:30 или 14:30:05; обозначение часового пояса (UTC, UTC+3, Europe/Helsinki) не опускается и не пересчитывается без прямого указания автора.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12. Таблицы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Сохранять количество строк и столбцов, порядок данных, заголовки, числовые значения, единицы, примечания и источники.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удалять, не объединять и не переставлять строки только ради удобства оформления.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Заголовки столбцов переводить кратко, но не ценой двусмысленности; при необходимости разрешён перенос внутри ячейки.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Номер и подпись таблицы сохраняются. В перечень применённых записей включаются только термины, фактически присутствующие в оригинале и использованные при переводе; отдельный компонент нельзя выдавать за более широкий составной термин. Примечания и источники относятся к тому же объекту, что и в оригинале.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Числа и коды внутри таблицы сверяются с PDF и EPUB отдельно от литературной редактуры текста.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13. Иллюстрации и подписи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Переводить смысловой текст, подписи, оси, легенды и выноски с использованием утверждённых терминов.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изменять числа, формулы, переменные, цвета, стрелки, масштаб, направление связей и взаимное расположение элементов.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Названия переменных и файлов, совпадающие с кодом, внутри графика не переводятся; русский смысл даётся в легенде, подписи или пояснении.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На этапе 02 иллюстрации не перерисовываются; правила только проверяются на коротких подписях.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Подпись переводится строго в пределах содержащегося в ней высказывания. Сведения, понятные из изображения, главы или предметной области, не добавляются в подпись, если они отсутствуют в оригинале. В частности, generation нельзя автоматически расширять до «генерации ответа», «генерации текста» или «генерации результата» без соответствующего слова в оригинале.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14. Библиография, DOI, URL и официальные названия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Библиографические записи, DOI, URL, номера стандартов и нормативные обозначения сохраняются без искажения.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 статьи, книги, компании, биржи, датасета или проекта проверяется по официальному источнику.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Перевод названия не должен выглядеть как новое официальное имя; при необходимости русский перевод даётся описательно рядом с оригиналом.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Технический адрес ссылки не переводится; видимый текст ссылки переводится по функции и контексту.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15. Заголовки, примечания, предупреждения и ссылки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 переводится как название раздела, а не как отдельное предложение; терминология совпадает с текстом и глоссарием.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Note, Tip и Warning передаются единообразно как «Примечание», «Совет» и «Предупреждение», если контекст не требует иной роли.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Сноски сохраняют исходную нумерацию, порядок и связь с местом ссылки. Знак сноски ставится после слова или фрагмента, к которому относится, и до завершающего знака препинания, если структура источника не требует иного. Текст сноски переводится отдельным блоком и без редакционного основания не переносится в основной текст; URL, DOI и библиографические ссылки не удаляются. Примечание переводчика добавляется только при необходимости, нумеруется отдельно и явно маркируется «Прим. пер.».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Перекрёстные ссылки должны указывать на фактический русский номер объекта и согласованный русский заголовок.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16. Единая типографическая политика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Основные русские кавычки — «…»; вложенные — „…“. В обычном тексте и иностранных именах применяется типографский апостроф ’, если это не нарушает официальное написание. В inline-code, блочном коде, командах, SQL, строковых литералах, идентификаторах, путях, URL, регулярных выражениях и машинно читаемых значениях исходные кавычки и ASCII-апостроф ' сохраняются.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русском тексте используется длинное тире; внутри сложных слов — дефис; в формулах — математический минус.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В основном русском тексте буква «ё» обязательна во всех словах, где она нормативно требуется, включая заголовки, таблицы, подписи и глоссарий. Исключения: программный код, идентификаторы, команды, пути, URL, официальные названия, торговые символы, библиографические записи и точные цитаты, если источник использует «е»; внутри них символы не заменяются.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Неразрывные пробелы применяются между числами и единицами, перед знаком процента, в инициалах, устойчивых сокращениях и перекрёстных ссылках.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машинно читаемых значениях любые типографические замены запрещены.</w:t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17. Порядок решения неоднозначности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Найти все существенные употребления в EPUB и короткие контексты из разных глав.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Определить предметную роль и разделить омонимичные значения на самостоятельные записи.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Сверить визуальный контекст по PDF и технические имена по официальному GitHub.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Сопоставить варианты с профессиональным русским употреблением; не считать англицизм ошибочным только из-за происхождения.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Выбрать один основной вариант, ограниченные альтернативы и нежелательные формы либо перенести вопрос в «Требуют решения». Предварительную запись нельзя представлять в пилоте как утверждённую; редакторская неоднозначность указывается явно.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Зафиксировать решение и источник в журнале изменений, затем выполнить обратный поиск по уже подготовленным материалам.</w:t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18. Контроль перед приёмкой любого фрагмента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структурные блоки оригинала учтены; пропусков нет.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Термины соответствуют значению и статусу в глоссарии.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Модальность, причинность, ограничения и степень уверенности сохранены.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Числа, проценты, валюты, даты, время, единицы, формулы и переменные сверены; для каждой ссылочной привязки отдельно проверены физическая и печатная страницы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Код, inline-code, API, имена файлов и пути не изменены и сверены с GitHub при наличии соответствия.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Таблицы и подписи сохранили номер, структуру, данные и примечания.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Русский текст читается естественно и не воспроизводит английский порядок слов.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Все расхождения и спорные решения внесены в журнал.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Выполнено обратное сопоставление каждого смыслового элемента перевода с оригиналом; в переводе отсутствуют добавленные объекты, определения и редакторские пояснения.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Отметка «сверено повторно» ставится только после повторного чтения уже исправленного текста и не переносится из прежней версии, если новая проверка выявила ошибку.</w:t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19. Управление версиями и следующий шаг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Изменения глоссария и правил не перезаписывают предыдущие редакции: прежняя версия сохраняется в архиве, а новая получает последовательный номер. Любая правка, способная затронуть подготовленные материалы, требует обратного поиска и регистрации в журнале.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Версии 1.5–1.14 сохранены без перезаписи. Исправления внесены только в отдельный комплект v1.14. Исторические строки журнала не переписывались: каждая новая правка зафиксирована записью v1.14 с указанием состояния до и после, причины, источника и результата повторной проверки. Комплект v1.14 прошёл отдельную независимую приёмку; положительный результат оформлен актом 02.04 v1.14.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20. Протокол отдельной контрольной проверки этапа 02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Для файла 02.01 повторно определить и проверить фактическое количество строк основного глоссария, число строк на каждой вспомогательной вкладке, уникальность ID, отсутствие пустых обязательных полей и дублей, статусы, источники, раздельные физические и печатные страницы PDF, внутренние ссылки, фильтры, закрепления и охват всех 27 глав. Если количество строк изменится после разделения значений, удаления неподтверждённых записей или добавления обоснованных терминов, в отчёте приводится новое число с объяснением причины.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файла 02.02 проверить отсутствие противоречий с утверждёнными и предварительными записями глоссария, а также полноту правил для кода, формул, чисел, таблиц и иллюстраций.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Для файла 02.03 проверить все 13 оригинальных фрагментов по EPUB и PDF, отдельно сверить физическую и печатную страницы, перевод, точные ID применённых записей, технические имена по официальному GitHub и повторный контроль.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Убедиться, что вопросы со статусом «требует решения» не используются как окончательные решения ни в одном из трёх файлов.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Отдельная независимая проверка версии 1.14 завершена, статус этапа 02 изменён на «принято», положительный результат оформлен документом 02.04 v1.14. Переход к подготовке следующего этапа разрешён после проверки его собственного контрольного комплекта. Перевод книги и отдельных глав в рамках этих исправлений не начинался.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