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0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Agentic Trust Scoring Framework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172a"/>
          <w:sz w:val="72"/>
          <w:szCs w:val="72"/>
        </w:rPr>
        <w:t xml:space="preserve">(ATSF)</w:t>
      </w:r>
    </w:p>
    <w:p>
      <w:pPr>
        <w:spacing w:after="40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Version 3.4</w:t>
      </w:r>
    </w:p>
    <w:p>
      <w:pPr>
        <w:spacing w:after="100"/>
        <w:jc w:val="center"/>
      </w:pPr>
      <w:r>
        <w:rPr>
          <w:color w:val="0891b2"/>
          <w:sz w:val="20"/>
          <w:szCs w:val="20"/>
        </w:rPr>
        <w:t xml:space="preserve">━━━━━━━━━━━━━━━━━━━━━━━━━━━━━━━━━━━━━━━━━━━━━━━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Production-Beta AI Agent Safety, Governance</w:t>
      </w:r>
    </w:p>
    <w:p>
      <w:pPr>
        <w:spacing w:after="40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&amp; Cognitive Architecture</w:t>
      </w:r>
    </w:p>
    <w:p>
      <w:pPr>
        <w:spacing w:after="100"/>
        <w:jc w:val="center"/>
      </w:pPr>
      <w:r>
        <w:rPr>
          <w:color w:val="0891b2"/>
          <w:sz w:val="20"/>
          <w:szCs w:val="20"/>
        </w:rPr>
        <w:t xml:space="preserve">━━━━━━━━━━━━━━━━━━━━━━━━━━━━━━━━━━━━━━━━━━━━━━━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Technical White Paper</w:t>
      </w:r>
    </w:p>
    <w:p>
      <w:pPr>
        <w:spacing w:after="6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January 2026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AgentAnchor</w:t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Vorion Project</w:t>
      </w:r>
    </w:p>
    <w:p>
      <w:pPr>
        <w:spacing w:after="4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0d9488"/>
          <w:sz w:val="20"/>
          <w:szCs w:val="20"/>
        </w:rPr>
        <w:t xml:space="preserve">Open Source • MIT License • Community-Driven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Abstract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Agentic Trust Scoring Framework (ATSF) v3.4 introduces a multidimensional cognitive architecture for autonomous AI agents, addressing critical gaps in context persistence, behavioral governance, and temporal analytics. As AI systems approach AGI-level capabilities by 2027-2030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[1]</w:t>
      </w:r>
      <w:r>
        <w:rPr>
          <w:rFonts w:ascii="Arial" w:cs="Arial" w:eastAsia="Arial" w:hAnsi="Arial"/>
          <w:sz w:val="22"/>
          <w:szCs w:val="22"/>
        </w:rPr>
        <w:t xml:space="preserve">, the need for robust safety infrastructure becomes paramount. Building on prior versions, ATSF integrates 46 security layers with OLAP data cubes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[2]</w:t>
      </w:r>
      <w:r>
        <w:rPr>
          <w:rFonts w:ascii="Arial" w:cs="Arial" w:eastAsia="Arial" w:hAnsi="Arial"/>
          <w:sz w:val="22"/>
          <w:szCs w:val="22"/>
        </w:rPr>
        <w:t xml:space="preserve">, temporal knowledge graphs (TKGs)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[3]</w:t>
      </w:r>
      <w:r>
        <w:rPr>
          <w:rFonts w:ascii="Arial" w:cs="Arial" w:eastAsia="Arial" w:hAnsi="Arial"/>
          <w:sz w:val="22"/>
          <w:szCs w:val="22"/>
        </w:rPr>
        <w:t xml:space="preserve">, Adaptive Resonance Theory (ART) clustering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[4]</w:t>
      </w:r>
      <w:r>
        <w:rPr>
          <w:rFonts w:ascii="Arial" w:cs="Arial" w:eastAsia="Arial" w:hAnsi="Arial"/>
          <w:sz w:val="22"/>
          <w:szCs w:val="22"/>
        </w:rPr>
        <w:t xml:space="preserve">, and constitutional AI constraints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[5]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Comprising approximately 23,400 lines of Python code across 28 modules, ATSF provides a beta-ready foundation for high-stakes deployments while fostering open-source community contributions toward AGI-readiness. Internal evaluations demonstrate 95% causal chain detection accuracy on synthetic benchmarks and 87% effect grouping stability. However,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limitations exist</w:t>
      </w:r>
      <w:r>
        <w:rPr>
          <w:rFonts w:ascii="Arial" w:cs="Arial" w:eastAsia="Arial" w:hAnsi="Arial"/>
          <w:sz w:val="22"/>
          <w:szCs w:val="22"/>
        </w:rPr>
        <w:t xml:space="preserve"> in computational scaling for superhuman agent workloads and real-world validation at production scale.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paper details the architecture, implementation, empirical evaluations, and a community roadmap inviting collaborative development. ATSF is released under the MIT license to seed the ecosystem infrastructure necessary for safe AGI deployment.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Executive Summary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Modern AI agents powered by Large Language Models (LLMs) excel in semantic reasoning but falter in maintaining cognitive continuity over time. Issues like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context rot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catastrophic forgetting</w:t>
      </w:r>
      <w:r>
        <w:rPr>
          <w:rFonts w:ascii="Arial" w:cs="Arial" w:eastAsia="Arial" w:hAnsi="Arial"/>
          <w:sz w:val="22"/>
          <w:szCs w:val="22"/>
        </w:rPr>
        <w:t xml:space="preserve">, and inconsistent governance adherence plague extended operations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[6]</w:t>
      </w:r>
      <w:r>
        <w:rPr>
          <w:rFonts w:ascii="Arial" w:cs="Arial" w:eastAsia="Arial" w:hAnsi="Arial"/>
          <w:sz w:val="22"/>
          <w:szCs w:val="22"/>
        </w:rPr>
        <w:t xml:space="preserve">. Vector databases, while efficient for semantic similarity, cannot provide the temporal precision, exact retrieval, or aggregation capabilities required for high-stakes deployments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[7]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ATSF v3.4 addresses these challenges through a novel Cognitive Cube architecture that synthesizes: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46 Security Layers</w:t>
      </w:r>
      <w:r>
        <w:rPr>
          <w:rFonts w:ascii="Arial" w:cs="Arial" w:eastAsia="Arial" w:hAnsi="Arial"/>
          <w:sz w:val="22"/>
          <w:szCs w:val="22"/>
        </w:rPr>
        <w:t xml:space="preserve"> — Defense-in-depth from L0 trust scoring through L46 CI/CD gates, informed by red-team methodologies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[8]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Multi-Dimensional Data Cubes</w:t>
      </w:r>
      <w:r>
        <w:rPr>
          <w:rFonts w:ascii="Arial" w:cs="Arial" w:eastAsia="Arial" w:hAnsi="Arial"/>
          <w:sz w:val="22"/>
          <w:szCs w:val="22"/>
        </w:rPr>
        <w:t xml:space="preserve"> — OLAP-style analytics enabling slice, dice, roll-up, and drill-down operations on agent experience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[2]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Temporal Knowledge Graphs</w:t>
      </w:r>
      <w:r>
        <w:rPr>
          <w:rFonts w:ascii="Arial" w:cs="Arial" w:eastAsia="Arial" w:hAnsi="Arial"/>
          <w:sz w:val="22"/>
          <w:szCs w:val="22"/>
        </w:rPr>
        <w:t xml:space="preserve"> — Time-stamped quadruples (Subject, Predicate, Object, Timestamp) for causal chain discovery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[3]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 Clustering</w:t>
      </w:r>
      <w:r>
        <w:rPr>
          <w:rFonts w:ascii="Arial" w:cs="Arial" w:eastAsia="Arial" w:hAnsi="Arial"/>
          <w:sz w:val="22"/>
          <w:szCs w:val="22"/>
        </w:rPr>
        <w:t xml:space="preserve"> — Unsupervised effect grouping using Grossberg &amp; Carpenter's vigilance-based networks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[4]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Constitutional AI Governance</w:t>
      </w:r>
      <w:r>
        <w:rPr>
          <w:rFonts w:ascii="Arial" w:cs="Arial" w:eastAsia="Arial" w:hAnsi="Arial"/>
          <w:sz w:val="22"/>
          <w:szCs w:val="22"/>
        </w:rPr>
        <w:t xml:space="preserve"> — Architectural retrieval constraints enforcing 'basis reminders'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[5]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TRiSM Integration</w:t>
      </w:r>
      <w:r>
        <w:rPr>
          <w:rFonts w:ascii="Arial" w:cs="Arial" w:eastAsia="Arial" w:hAnsi="Arial"/>
          <w:sz w:val="22"/>
          <w:szCs w:val="22"/>
        </w:rPr>
        <w:t xml:space="preserve"> — Gartner-aligned pillars: Explainability, ModelOps, Security, Privacy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[9]</w:t>
      </w:r>
    </w:p>
    <w:p>
      <w:pPr>
        <w:spacing w:after="200"/>
      </w:pP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framework includes 45+ REST API endpoints, Docker deployment configurations, and CI/CD integration hooks.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This is a beta release</w:t>
      </w:r>
      <w:r>
        <w:rPr>
          <w:rFonts w:ascii="Arial" w:cs="Arial" w:eastAsia="Arial" w:hAnsi="Arial"/>
          <w:sz w:val="22"/>
          <w:szCs w:val="22"/>
        </w:rPr>
        <w:t xml:space="preserve"> designed to seed community growth and collaborative development toward production hardening. We invite contributions via our MIT-licensed GitHub repository.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Introduction and Challenges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2.1 The AGI Timeline Context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Leading AI forecasters project AGI-level capabilities emerging between 2027-2030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[1]</w:t>
      </w:r>
      <w:r>
        <w:rPr>
          <w:rFonts w:ascii="Arial" w:cs="Arial" w:eastAsia="Arial" w:hAnsi="Arial"/>
          <w:sz w:val="22"/>
          <w:szCs w:val="22"/>
        </w:rPr>
        <w:t xml:space="preserve">. As agents become more autonomous—perceiving, reasoning, acting, and learning over extended horizons—the infrastructure for safety and governance must evolve commensurately. Current RAG-based approaches using vector databases address semantic recall but introduce critical deficiencies: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Vector DB Limitation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 Consequence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Temporal Precision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Metadata filtering secondary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Cannot distinguish causality from correlation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Exact Retrieval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 algorithms probabilistic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Hallucination of facts; wrong policy retrieval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Aggregation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native SUM/COUNT/AVG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Cannot quantify effect patterns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Governance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Semantic matching bypassable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Safety rules become suggestions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2.2 The ATSF Approach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ATSF bridges these gaps by synthesizing semantic vectors with the structural rigidity of multidimensional temporal data structures. We model agent memory as a sparse tensor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 ∈ ℝᵀ ˣ ᴱ ˣ ᶜ ˣ ᴬ</w:t>
      </w:r>
      <w:r>
        <w:rPr>
          <w:rFonts w:ascii="Arial" w:cs="Arial" w:eastAsia="Arial" w:hAnsi="Arial"/>
          <w:sz w:val="22"/>
          <w:szCs w:val="22"/>
        </w:rPr>
        <w:t xml:space="preserve"> where T (Time), E (Entity), C (Context), and A (Action) form first-class dimensions enabling deterministic operations on agent experience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[2]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Concrete Example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Consider an agent querying: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"Show me all actions I took for User X on Fridays that resulted in errors."</w:t>
      </w:r>
      <w:r>
        <w:rPr>
          <w:rFonts w:ascii="Arial" w:cs="Arial" w:eastAsia="Arial" w:hAnsi="Arial"/>
          <w:sz w:val="22"/>
          <w:szCs w:val="22"/>
        </w:rPr>
        <w:t xml:space="preserve"> In a pure vector system, this requires expensive LLM processing. In ATSF's Cognitive Cube, it becomes a simple slice-and-dice operation:</w:t>
      </w:r>
    </w:p>
    <w:p>
      <w:pPr>
        <w:shd w:fill="f8fafc" w:val="clear"/>
        <w:spacing w:before="150" w:after="15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Memory WHERE User='X' AND DayOfWeek='Friday' AND Outcome='Error'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deterministic retrieval prevents hallucination while enabling aggregate insights (e.g., 'Error rate with User X is 15% on Fridays').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Core Architecture: The Cognitive Cube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3.1 Hybrid Structure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Cognitive Cube merges relational OLAP cubes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[2]</w:t>
      </w:r>
      <w:r>
        <w:rPr>
          <w:rFonts w:ascii="Arial" w:cs="Arial" w:eastAsia="Arial" w:hAnsi="Arial"/>
          <w:sz w:val="22"/>
          <w:szCs w:val="22"/>
        </w:rPr>
        <w:t xml:space="preserve"> with semantic knowledge graphs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[3]</w:t>
      </w:r>
      <w:r>
        <w:rPr>
          <w:rFonts w:ascii="Arial" w:cs="Arial" w:eastAsia="Arial" w:hAnsi="Arial"/>
          <w:sz w:val="22"/>
          <w:szCs w:val="22"/>
        </w:rPr>
        <w:t xml:space="preserve">, creating a hybrid structure optimized for agent cognition: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Dimensions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(hierarchical), Agent ID, Action Type, Context, Governance Rule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Measures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Trust Score, Risk Score, Granger p-values, ART Cluster Stability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Operations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Slice (single dim), Dice (multi-filter), Roll-up (aggregate), Drill-down (detail)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Graph Layer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TKG nodes (events/entities) + temporal edges for causal chain traversal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3.2 Temporal Knowledge Graphs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Unlike standard knowledge graphs using triples, ATSF employs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quadruples</w:t>
      </w:r>
      <w:r>
        <w:rPr>
          <w:rFonts w:ascii="Arial" w:cs="Arial" w:eastAsia="Arial" w:hAnsi="Arial"/>
          <w:sz w:val="22"/>
          <w:szCs w:val="22"/>
        </w:rPr>
        <w:t xml:space="preserve"> that include temporal validity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[3]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before="150" w:after="15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(Subject, Predicate, Object, [T_start, T_end])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Causal Chain Discovery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When an effect is observed, the system traces backwards through time-ordered edges: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Starting from effect node, find all incoming edges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Filter edges where cause timestamp precedes effect timestamp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Apply configurable time window constraint (default: 30 minutes)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Recursively trace through subject nodes up to max depth</w:t>
      </w:r>
    </w:p>
    <w:p>
      <w:pPr>
        <w:spacing w:after="200" w:line="276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Agent reboots Server_01 at T=100. Latency drops at T=105. The TKG captures: </w:t>
      </w:r>
      <w:r>
        <w:rPr>
          <w:rFonts w:ascii="Courier New" w:cs="Courier New" w:eastAsia="Courier New" w:hAnsi="Courier New"/>
          <w:sz w:val="20"/>
          <w:szCs w:val="20"/>
        </w:rPr>
        <w:t xml:space="preserve">(Agent, rebooted, Server_01, [100,100]) → (Server_01, latency_dropped, true, [105,∞])</w:t>
      </w:r>
      <w:r>
        <w:rPr>
          <w:rFonts w:ascii="Arial" w:cs="Arial" w:eastAsia="Arial" w:hAnsi="Arial"/>
          <w:sz w:val="22"/>
          <w:szCs w:val="22"/>
        </w:rPr>
        <w:t xml:space="preserve">. Causal chain discovery reveals the reboot caused the improvement.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Key Components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4.1 Adaptive Resonance Theory (ART) Clustering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For automatic effect grouping without supervision, ATSF implements ART networks developed by Grossberg and Carpenter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[4]</w:t>
      </w:r>
      <w:r>
        <w:rPr>
          <w:rFonts w:ascii="Arial" w:cs="Arial" w:eastAsia="Arial" w:hAnsi="Arial"/>
          <w:sz w:val="22"/>
          <w:szCs w:val="22"/>
        </w:rPr>
        <w:t xml:space="preserve">. As foundational academic work from 1987, this approach is public domain—ensuring IP safety.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ART solves the stability-plasticity dilemma through a vigilance parameter (ρ):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Pattern:</w:t>
      </w:r>
      <w:r>
        <w:rPr>
          <w:rFonts w:ascii="Arial" w:cs="Arial" w:eastAsia="Arial" w:hAnsi="Arial"/>
          <w:sz w:val="22"/>
          <w:szCs w:val="22"/>
        </w:rPr>
        <w:t xml:space="preserve"> Agent observes new outcome vector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 Choice:</w:t>
      </w:r>
      <w:r>
        <w:rPr>
          <w:rFonts w:ascii="Arial" w:cs="Arial" w:eastAsia="Arial" w:hAnsi="Arial"/>
          <w:sz w:val="22"/>
          <w:szCs w:val="22"/>
        </w:rPr>
        <w:t xml:space="preserve"> Compare to existing prototype vectors (cluster centers)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Vigilance Check:</w:t>
      </w:r>
      <w:r>
        <w:rPr>
          <w:rFonts w:ascii="Arial" w:cs="Arial" w:eastAsia="Arial" w:hAnsi="Arial"/>
          <w:sz w:val="22"/>
          <w:szCs w:val="22"/>
        </w:rPr>
        <w:t xml:space="preserve"> If cosine_similarity &gt; ρ → merge with cluster (Resonance)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Reset:</w:t>
      </w:r>
      <w:r>
        <w:rPr>
          <w:rFonts w:ascii="Arial" w:cs="Arial" w:eastAsia="Arial" w:hAnsi="Arial"/>
          <w:sz w:val="22"/>
          <w:szCs w:val="22"/>
        </w:rPr>
        <w:t xml:space="preserve"> If similarity &lt; ρ → create new cluster</w:t>
      </w:r>
    </w:p>
    <w:p>
      <w:pPr>
        <w:spacing w:after="200" w:line="276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Tuning: </w:t>
      </w:r>
      <w:r>
        <w:rPr>
          <w:rFonts w:ascii="Arial" w:cs="Arial" w:eastAsia="Arial" w:hAnsi="Arial"/>
          <w:sz w:val="22"/>
          <w:szCs w:val="22"/>
        </w:rPr>
        <w:t xml:space="preserve">Higher ρ (e.g., 0.9) creates fine-grained clusters; lower ρ (e.g., 0.5) creates broad groupings. ATSF defaults to ρ=0.7, adjustable per deployment.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4.2 Granger Causality Analysis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For numerical time series, ATSF employs Granger causality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[10]</w:t>
      </w:r>
      <w:r>
        <w:rPr>
          <w:rFonts w:ascii="Arial" w:cs="Arial" w:eastAsia="Arial" w:hAnsi="Arial"/>
          <w:sz w:val="22"/>
          <w:szCs w:val="22"/>
        </w:rPr>
        <w:t xml:space="preserve"> to establish statistical cause-effect relationships. Variable X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Granger-causes</w:t>
      </w:r>
      <w:r>
        <w:rPr>
          <w:rFonts w:ascii="Arial" w:cs="Arial" w:eastAsia="Arial" w:hAnsi="Arial"/>
          <w:sz w:val="22"/>
          <w:szCs w:val="22"/>
        </w:rPr>
        <w:t xml:space="preserve"> Y if past values of X improve predictions of Y beyond Y's own history.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test fits regression models and compares via F-statistic. This standard econometric technique (1969) carries no IP risk.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4.3 Constitutional AI Governance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'Basis reminders' ensure adherence to core rules regardless of context. Rather than model alignment training (heavily patented), ATSF implements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Architectural Retrieval Constraints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[5]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Authorization Before Retrieval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Before any memory retrieval, queries are intercepted by a Policy Engine: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Rules defined declaratively with keywords and categories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Query checked against constitutional rules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Prohibited terms trigger filters preventing retrieval</w:t>
      </w:r>
    </w:p>
    <w:p>
      <w:pPr>
        <w:spacing w:after="200" w:line="276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Result: </w:t>
      </w:r>
      <w:r>
        <w:rPr>
          <w:rFonts w:ascii="Arial" w:cs="Arial" w:eastAsia="Arial" w:hAnsi="Arial"/>
          <w:sz w:val="22"/>
          <w:szCs w:val="22"/>
        </w:rPr>
        <w:t xml:space="preserve">The agent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literally cannot remember</w:t>
      </w:r>
      <w:r>
        <w:rPr>
          <w:rFonts w:ascii="Arial" w:cs="Arial" w:eastAsia="Arial" w:hAnsi="Arial"/>
          <w:sz w:val="22"/>
          <w:szCs w:val="22"/>
        </w:rPr>
        <w:t xml:space="preserve"> prohibited data, rendering leakage architecturally impossible.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Immutable System Block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Context engineering structures prompts with rigid sections: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Block (Immutable):</w:t>
      </w:r>
      <w:r>
        <w:rPr>
          <w:rFonts w:ascii="Arial" w:cs="Arial" w:eastAsia="Arial" w:hAnsi="Arial"/>
          <w:sz w:val="22"/>
          <w:szCs w:val="22"/>
        </w:rPr>
        <w:t xml:space="preserve"> Constitution pinned to context start, never evicted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Episodic Block (Dynamic):</w:t>
      </w:r>
      <w:r>
        <w:rPr>
          <w:rFonts w:ascii="Arial" w:cs="Arial" w:eastAsia="Arial" w:hAnsi="Arial"/>
          <w:sz w:val="22"/>
          <w:szCs w:val="22"/>
        </w:rPr>
        <w:t xml:space="preserve"> Retrieved memories from Date Cube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Working Block (Mutable):</w:t>
      </w:r>
      <w:r>
        <w:rPr>
          <w:rFonts w:ascii="Arial" w:cs="Arial" w:eastAsia="Arial" w:hAnsi="Arial"/>
          <w:sz w:val="22"/>
          <w:szCs w:val="22"/>
        </w:rPr>
        <w:t xml:space="preserve"> Current conversation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4.4 AI TRiSM Integration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ATSF implements Gartner's AI TRiSM framework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[9]</w:t>
      </w:r>
      <w:r>
        <w:rPr>
          <w:rFonts w:ascii="Arial" w:cs="Arial" w:eastAsia="Arial" w:hAnsi="Arial"/>
          <w:sz w:val="22"/>
          <w:szCs w:val="22"/>
        </w:rPr>
        <w:t xml:space="preserve"> across four pillars: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ATSF Implementation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logging with SHA-256 hashing, human-readable decision explanations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ModelOps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 control, configurable kill switch, rollback, shadow testing pipelines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Security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Adversarial defense (6 attack types), threat scoring, injection detection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Privacy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privacy risk types, differential privacy support, PII detection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Security and Governance Layers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5.1 Defense-in-Depth Architecture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ATSF's 46 security layers evolved across versions 3.0-3.4, informed by red-team methodologies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[8]</w:t>
      </w:r>
      <w:r>
        <w:rPr>
          <w:rFonts w:ascii="Arial" w:cs="Arial" w:eastAsia="Arial" w:hAnsi="Arial"/>
          <w:sz w:val="22"/>
          <w:szCs w:val="22"/>
        </w:rPr>
        <w:t xml:space="preserve"> and STPA hazard analysis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[11]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L0-L8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Trust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Trust scoring, velocity caps (per-action/hour/day), tier ceilings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L9-L13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Frontier Safety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Anti-sandbagging, anti-scheming, instrumental convergence detection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L14-L19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Behavioral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Drift detection (4 types), intent alignment, inverse reward modeling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L20-L29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Detection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Traffic analysis, replication prevention, containment protocols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L30-L42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Ecosystem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Multi-agent coordination, privilege escalation prevention, RSI control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L43-L46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Advanced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 output sanitization, reasoning eval, 8-category bias probing, CI/CD gate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5.2 Kill Switch Mechanism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ModelOps pillar includes configurable automatic halt triggers: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 Risk Rate:</w:t>
      </w:r>
      <w:r>
        <w:rPr>
          <w:rFonts w:ascii="Arial" w:cs="Arial" w:eastAsia="Arial" w:hAnsi="Arial"/>
          <w:sz w:val="22"/>
          <w:szCs w:val="22"/>
        </w:rPr>
        <w:t xml:space="preserve"> &gt;10% of actions exceed risk threshold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Injection Detection:</w:t>
      </w:r>
      <w:r>
        <w:rPr>
          <w:rFonts w:ascii="Arial" w:cs="Arial" w:eastAsia="Arial" w:hAnsi="Arial"/>
          <w:sz w:val="22"/>
          <w:szCs w:val="22"/>
        </w:rPr>
        <w:t xml:space="preserve"> Prompt injection attack detected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Drift:</w:t>
      </w:r>
      <w:r>
        <w:rPr>
          <w:rFonts w:ascii="Arial" w:cs="Arial" w:eastAsia="Arial" w:hAnsi="Arial"/>
          <w:sz w:val="22"/>
          <w:szCs w:val="22"/>
        </w:rPr>
        <w:t xml:space="preserve"> Behavioral drift exceeds tolerance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Denial Spike:</w:t>
      </w:r>
      <w:r>
        <w:rPr>
          <w:rFonts w:ascii="Arial" w:cs="Arial" w:eastAsia="Arial" w:hAnsi="Arial"/>
          <w:sz w:val="22"/>
          <w:szCs w:val="22"/>
        </w:rPr>
        <w:t xml:space="preserve"> Sudden increase in denied actions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When triggered, all agent operations halt pending manual reset with documented justification. Reset events are logged for audit.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Implementation and Deployment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6.1 Code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Lines of Code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~23,400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Modules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 Endpoints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45+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Layers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License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MIT (Open Source)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6.2 Key Modules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atsf_v33_fixes.py</w:t>
      </w:r>
      <w:r>
        <w:rPr>
          <w:rFonts w:ascii="Arial" w:cs="Arial" w:eastAsia="Arial" w:hAnsi="Arial"/>
          <w:sz w:val="22"/>
          <w:szCs w:val="22"/>
        </w:rPr>
        <w:t xml:space="preserve"> — Core trust scoring, velocity caps (1,200+ lines)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atsf_api.py</w:t>
      </w:r>
      <w:r>
        <w:rPr>
          <w:rFonts w:ascii="Arial" w:cs="Arial" w:eastAsia="Arial" w:hAnsi="Arial"/>
          <w:sz w:val="22"/>
          <w:szCs w:val="22"/>
        </w:rPr>
        <w:t xml:space="preserve"> — FastAPI REST endpoints (1,000+ lines)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ai_trism_integration.py</w:t>
      </w:r>
      <w:r>
        <w:rPr>
          <w:rFonts w:ascii="Arial" w:cs="Arial" w:eastAsia="Arial" w:hAnsi="Arial"/>
          <w:sz w:val="22"/>
          <w:szCs w:val="22"/>
        </w:rPr>
        <w:t xml:space="preserve"> — Gartner TRiSM pillars (800+ lines)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data_cube.py</w:t>
      </w:r>
      <w:r>
        <w:rPr>
          <w:rFonts w:ascii="Arial" w:cs="Arial" w:eastAsia="Arial" w:hAnsi="Arial"/>
          <w:sz w:val="22"/>
          <w:szCs w:val="22"/>
        </w:rPr>
        <w:t xml:space="preserve"> — OLAP analytics, agent memory (1,265 lines)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cognitive_cube.py</w:t>
      </w:r>
      <w:r>
        <w:rPr>
          <w:rFonts w:ascii="Arial" w:cs="Arial" w:eastAsia="Arial" w:hAnsi="Arial"/>
          <w:sz w:val="22"/>
          <w:szCs w:val="22"/>
        </w:rPr>
        <w:t xml:space="preserve"> — TKG, ART, Granger, Constitutional (1,195 lines)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creator_accountability.py</w:t>
      </w:r>
      <w:r>
        <w:rPr>
          <w:rFonts w:ascii="Arial" w:cs="Arial" w:eastAsia="Arial" w:hAnsi="Arial"/>
          <w:sz w:val="22"/>
          <w:szCs w:val="22"/>
        </w:rPr>
        <w:t xml:space="preserve"> — Economic staking, reputation (700+ lines)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stpa_hro_integration.py</w:t>
      </w:r>
      <w:r>
        <w:rPr>
          <w:rFonts w:ascii="Arial" w:cs="Arial" w:eastAsia="Arial" w:hAnsi="Arial"/>
          <w:sz w:val="22"/>
          <w:szCs w:val="22"/>
        </w:rPr>
        <w:t xml:space="preserve"> — STPA hazard analysis, HRO principles (600+ lines)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6.3 Deployment Options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ATSF supports multiple deployment patterns: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Local/Development:</w:t>
      </w:r>
      <w:r>
        <w:rPr>
          <w:rFonts w:ascii="Arial" w:cs="Arial" w:eastAsia="Arial" w:hAnsi="Arial"/>
          <w:sz w:val="22"/>
          <w:szCs w:val="22"/>
        </w:rPr>
        <w:t xml:space="preserve"> pip install -e . &amp;&amp; atsf-server --port 8000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Docker:</w:t>
      </w:r>
      <w:r>
        <w:rPr>
          <w:rFonts w:ascii="Arial" w:cs="Arial" w:eastAsia="Arial" w:hAnsi="Arial"/>
          <w:sz w:val="22"/>
          <w:szCs w:val="22"/>
        </w:rPr>
        <w:t xml:space="preserve"> docker-compose up -d (includes Redis, Prometheus)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Cloud:</w:t>
      </w:r>
      <w:r>
        <w:rPr>
          <w:rFonts w:ascii="Arial" w:cs="Arial" w:eastAsia="Arial" w:hAnsi="Arial"/>
          <w:sz w:val="22"/>
          <w:szCs w:val="22"/>
        </w:rPr>
        <w:t xml:space="preserve"> Kubernetes manifests for AWS EKS / GCP GKE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CI/CD:</w:t>
      </w:r>
      <w:r>
        <w:rPr>
          <w:rFonts w:ascii="Arial" w:cs="Arial" w:eastAsia="Arial" w:hAnsi="Arial"/>
          <w:sz w:val="22"/>
          <w:szCs w:val="22"/>
        </w:rPr>
        <w:t xml:space="preserve"> GitHub Action for pre-deployment safety gates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Evaluations and Limitations</w:t>
      </w:r>
    </w:p>
    <w:p>
      <w:pPr>
        <w:spacing w:after="200" w:line="276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Transparency note: </w:t>
      </w:r>
      <w:r>
        <w:rPr>
          <w:rFonts w:ascii="Arial" w:cs="Arial" w:eastAsia="Arial" w:hAnsi="Arial"/>
          <w:sz w:val="22"/>
          <w:szCs w:val="22"/>
        </w:rPr>
        <w:t xml:space="preserve">Following best practices from OpenAI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[12]</w:t>
      </w:r>
      <w:r>
        <w:rPr>
          <w:rFonts w:ascii="Arial" w:cs="Arial" w:eastAsia="Arial" w:hAnsi="Arial"/>
          <w:sz w:val="22"/>
          <w:szCs w:val="22"/>
        </w:rPr>
        <w:t xml:space="preserve"> and Anthropic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[5]</w:t>
      </w:r>
      <w:r>
        <w:rPr>
          <w:rFonts w:ascii="Arial" w:cs="Arial" w:eastAsia="Arial" w:hAnsi="Arial"/>
          <w:sz w:val="22"/>
          <w:szCs w:val="22"/>
        </w:rPr>
        <w:t xml:space="preserve">, we report both capabilities and limitations.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7.1 Internal Evaluations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Methodology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Causal Chain Detection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95% accuracy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Synthetic event logs, 1000 chains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 Cluster Stability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87% stability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action logs, ρ=0.7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Injection Detection Rate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92% detection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injection corpus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Constitutional Rule Retrieval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98% precision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BM25+Vector hybrid search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7.2 Known Limitations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We acknowledge the following limitations requiring further research and community input: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Compute Scaling:</w:t>
      </w:r>
      <w:r>
        <w:rPr>
          <w:rFonts w:ascii="Arial" w:cs="Arial" w:eastAsia="Arial" w:hAnsi="Arial"/>
          <w:sz w:val="22"/>
          <w:szCs w:val="22"/>
        </w:rPr>
        <w:t xml:space="preserve"> TKG traversal becomes expensive at &gt;100K nodes; optimization needed for AGI-scale workloads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Real-World Validation:</w:t>
      </w:r>
      <w:r>
        <w:rPr>
          <w:rFonts w:ascii="Arial" w:cs="Arial" w:eastAsia="Arial" w:hAnsi="Arial"/>
          <w:sz w:val="22"/>
          <w:szCs w:val="22"/>
        </w:rPr>
        <w:t xml:space="preserve"> Evaluations use synthetic/internal data; production deployments required for validation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Adversarial Robustness:</w:t>
      </w:r>
      <w:r>
        <w:rPr>
          <w:rFonts w:ascii="Arial" w:cs="Arial" w:eastAsia="Arial" w:hAnsi="Arial"/>
          <w:sz w:val="22"/>
          <w:szCs w:val="22"/>
        </w:rPr>
        <w:t xml:space="preserve"> While 92% injection detection is strong, sophisticated attacks may evade current patterns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AGI Applicability:</w:t>
      </w:r>
      <w:r>
        <w:rPr>
          <w:rFonts w:ascii="Arial" w:cs="Arial" w:eastAsia="Arial" w:hAnsi="Arial"/>
          <w:sz w:val="22"/>
          <w:szCs w:val="22"/>
        </w:rPr>
        <w:t xml:space="preserve"> Framework designed for current AI agents; untested against superhuman capabilities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 Consolidation:</w:t>
      </w:r>
      <w:r>
        <w:rPr>
          <w:rFonts w:ascii="Arial" w:cs="Arial" w:eastAsia="Arial" w:hAnsi="Arial"/>
          <w:sz w:val="22"/>
          <w:szCs w:val="22"/>
        </w:rPr>
        <w:t xml:space="preserve"> Decay parameters are heuristic; neuroscience-informed tuning could improve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We invite the community to help address these limitations through contributions and benchmarks.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Community Roadmap and Future Work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ATSF v3.4 is released under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MIT license</w:t>
      </w:r>
      <w:r>
        <w:rPr>
          <w:rFonts w:ascii="Arial" w:cs="Arial" w:eastAsia="Arial" w:hAnsi="Arial"/>
          <w:sz w:val="22"/>
          <w:szCs w:val="22"/>
        </w:rPr>
        <w:t xml:space="preserve"> to seed collaborative development toward AGI-readiness. We believe safety infrastructure should be open, auditable, and community-owned.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8.1 Contribution Opportunities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We invite contributions in the following areas: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Benchmarks:</w:t>
      </w:r>
      <w:r>
        <w:rPr>
          <w:rFonts w:ascii="Arial" w:cs="Arial" w:eastAsia="Arial" w:hAnsi="Arial"/>
          <w:sz w:val="22"/>
          <w:szCs w:val="22"/>
        </w:rPr>
        <w:t xml:space="preserve"> Standardized evaluation suites for agent safety frameworks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Integrations:</w:t>
      </w:r>
      <w:r>
        <w:rPr>
          <w:rFonts w:ascii="Arial" w:cs="Arial" w:eastAsia="Arial" w:hAnsi="Arial"/>
          <w:sz w:val="22"/>
          <w:szCs w:val="22"/>
        </w:rPr>
        <w:t xml:space="preserve"> Connectors for LangChain, AutoGPT, CrewAI, and other agent frameworks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Layers:</w:t>
      </w:r>
      <w:r>
        <w:rPr>
          <w:rFonts w:ascii="Arial" w:cs="Arial" w:eastAsia="Arial" w:hAnsi="Arial"/>
          <w:sz w:val="22"/>
          <w:szCs w:val="22"/>
        </w:rPr>
        <w:t xml:space="preserve"> New detection patterns for emerging threat vectors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Scalability:</w:t>
      </w:r>
      <w:r>
        <w:rPr>
          <w:rFonts w:ascii="Arial" w:cs="Arial" w:eastAsia="Arial" w:hAnsi="Arial"/>
          <w:sz w:val="22"/>
          <w:szCs w:val="22"/>
        </w:rPr>
        <w:t xml:space="preserve"> TKG optimization for large-scale deployments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Research:</w:t>
      </w:r>
      <w:r>
        <w:rPr>
          <w:rFonts w:ascii="Arial" w:cs="Arial" w:eastAsia="Arial" w:hAnsi="Arial"/>
          <w:sz w:val="22"/>
          <w:szCs w:val="22"/>
        </w:rPr>
        <w:t xml:space="preserve"> Academic papers validating or extending the framework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8.2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Q1 2026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beta release, GitHub repo launch, initial documentation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Q2 2026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Bug bounty program, security audit by third party, benchmark suite v1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Q3-Q4 2026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 v1.0, federated deployment support, enterprise features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2027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zkML integration for verifiable inference, cross-framework standardization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2028-2030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AGI-scale validation, superhuman agent governance, global safety consortium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8.3 Get Involved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Join the ATSF community: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</w:t>
      </w:r>
      <w:r>
        <w:rPr>
          <w:rFonts w:ascii="Arial" w:cs="Arial" w:eastAsia="Arial" w:hAnsi="Arial"/>
          <w:sz w:val="22"/>
          <w:szCs w:val="22"/>
        </w:rPr>
        <w:t xml:space="preserve"> github.com/agentanchor/atsf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Discord:</w:t>
      </w:r>
      <w:r>
        <w:rPr>
          <w:rFonts w:ascii="Arial" w:cs="Arial" w:eastAsia="Arial" w:hAnsi="Arial"/>
          <w:sz w:val="22"/>
          <w:szCs w:val="22"/>
        </w:rPr>
        <w:t xml:space="preserve"> Community discussions and support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Twitter/X:</w:t>
      </w:r>
      <w:r>
        <w:rPr>
          <w:rFonts w:ascii="Arial" w:cs="Arial" w:eastAsia="Arial" w:hAnsi="Arial"/>
          <w:sz w:val="22"/>
          <w:szCs w:val="22"/>
        </w:rPr>
        <w:t xml:space="preserve"> @AgentAnchor for updates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</w:t>
      </w:r>
      <w:r>
        <w:rPr>
          <w:rFonts w:ascii="Arial" w:cs="Arial" w:eastAsia="Arial" w:hAnsi="Arial"/>
          <w:sz w:val="22"/>
          <w:szCs w:val="22"/>
        </w:rPr>
        <w:t xml:space="preserve"> contribute@agentanchor.ai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9. Conclusion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Agentic Trust Scoring Framework v3.4 delivers cognitive continuity and governance infrastructure for autonomous AI agents through a synthesis of proven computer science primitives: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OLAP data cubes for deterministic temporal analytics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Temporal knowledge graphs for causal chain discovery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Adaptive Resonance Theory for unsupervised effect grouping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Constitutional constraints enforced through architecture, not prompts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Defense-in-depth security with 46 layers and configurable kill switches</w:t>
      </w:r>
    </w:p>
    <w:p>
      <w:pPr>
        <w:spacing w:after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As AI systems approach AGI capabilities, the need for robust, transparent, and community-auditable safety infrastructure becomes critical. ATSF is not a finished product—it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seed</w:t>
      </w:r>
      <w:r>
        <w:rPr>
          <w:rFonts w:ascii="Arial" w:cs="Arial" w:eastAsia="Arial" w:hAnsi="Arial"/>
          <w:sz w:val="22"/>
          <w:szCs w:val="22"/>
        </w:rPr>
        <w:t xml:space="preserve"> designed to grow through collaborative development.</w:t>
      </w:r>
    </w:p>
    <w:p>
      <w:pPr>
        <w:spacing w:after="200" w:line="276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constitution is no longer a suggestion. It is architecture.</w:t>
      </w:r>
      <w:r>
        <w:rPr>
          <w:rFonts w:ascii="Arial" w:cs="Arial" w:eastAsia="Arial" w:hAnsi="Arial"/>
          <w:sz w:val="22"/>
          <w:szCs w:val="22"/>
        </w:rPr>
        <w:t xml:space="preserve"> We invite you to help build it.</w:t>
      </w:r>
    </w:p>
    <w:p>
      <w:pPr>
        <w:spacing w:after="400"/>
      </w:pPr>
    </w:p>
    <w:p>
      <w:pPr>
        <w:jc w:val="center"/>
      </w:pPr>
      <w:r>
        <w:rPr>
          <w:color w:val="0891b2"/>
          <w:sz w:val="20"/>
          <w:szCs w:val="20"/>
        </w:rPr>
        <w:t xml:space="preserve">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10. References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Epoch AI. (2025).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AGI Timeline Forecasts and Compute Trends</w:t>
      </w:r>
      <w:r>
        <w:rPr>
          <w:rFonts w:ascii="Arial" w:cs="Arial" w:eastAsia="Arial" w:hAnsi="Arial"/>
          <w:sz w:val="22"/>
          <w:szCs w:val="22"/>
        </w:rPr>
        <w:t xml:space="preserve">. epochai.org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Kimball, R. (1996).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Data Warehouse Toolkit</w:t>
      </w:r>
      <w:r>
        <w:rPr>
          <w:rFonts w:ascii="Arial" w:cs="Arial" w:eastAsia="Arial" w:hAnsi="Arial"/>
          <w:sz w:val="22"/>
          <w:szCs w:val="22"/>
        </w:rPr>
        <w:t xml:space="preserve">. Wiley.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Ji, S., et al. (2023).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Survey on Temporal Knowledge Graphs</w:t>
      </w:r>
      <w:r>
        <w:rPr>
          <w:rFonts w:ascii="Arial" w:cs="Arial" w:eastAsia="Arial" w:hAnsi="Arial"/>
          <w:sz w:val="22"/>
          <w:szCs w:val="22"/>
        </w:rPr>
        <w:t xml:space="preserve">. arXiv:2302.08411.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Carpenter, G. &amp; Grossberg, S. (1987).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 2: Self-organization of stable category recognition codes for analog input patterns</w:t>
      </w:r>
      <w:r>
        <w:rPr>
          <w:rFonts w:ascii="Arial" w:cs="Arial" w:eastAsia="Arial" w:hAnsi="Arial"/>
          <w:sz w:val="22"/>
          <w:szCs w:val="22"/>
        </w:rPr>
        <w:t xml:space="preserve">. Applied Optics, 26(23).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Bai, Y., et al. (2022).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Constitutional AI: Harmlessness from AI Feedback</w:t>
      </w:r>
      <w:r>
        <w:rPr>
          <w:rFonts w:ascii="Arial" w:cs="Arial" w:eastAsia="Arial" w:hAnsi="Arial"/>
          <w:sz w:val="22"/>
          <w:szCs w:val="22"/>
        </w:rPr>
        <w:t xml:space="preserve">. Anthropic.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Bengio, Y., et al. (2023).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Managing AI Risks in an Era of Rapid Progress</w:t>
      </w:r>
      <w:r>
        <w:rPr>
          <w:rFonts w:ascii="Arial" w:cs="Arial" w:eastAsia="Arial" w:hAnsi="Arial"/>
          <w:sz w:val="22"/>
          <w:szCs w:val="22"/>
        </w:rPr>
        <w:t xml:space="preserve">. arXiv:2310.17688.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Wang, L., et al.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Survey on Large Language Model Based Autonomous Agents</w:t>
      </w:r>
      <w:r>
        <w:rPr>
          <w:rFonts w:ascii="Arial" w:cs="Arial" w:eastAsia="Arial" w:hAnsi="Arial"/>
          <w:sz w:val="22"/>
          <w:szCs w:val="22"/>
        </w:rPr>
        <w:t xml:space="preserve">. arXiv:2308.11432.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UK AI Safety Institute.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Guidance on AI Red Teaming</w:t>
      </w:r>
      <w:r>
        <w:rPr>
          <w:rFonts w:ascii="Arial" w:cs="Arial" w:eastAsia="Arial" w:hAnsi="Arial"/>
          <w:sz w:val="22"/>
          <w:szCs w:val="22"/>
        </w:rPr>
        <w:t xml:space="preserve">. aisi.gov.uk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Gartner. (2023).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AI Trust, Risk and Security Management (AI TRiSM)</w:t>
      </w:r>
      <w:r>
        <w:rPr>
          <w:rFonts w:ascii="Arial" w:cs="Arial" w:eastAsia="Arial" w:hAnsi="Arial"/>
          <w:sz w:val="22"/>
          <w:szCs w:val="22"/>
        </w:rPr>
        <w:t xml:space="preserve">. gartner.com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Granger, C.W.J. (1969).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Investigating Causal Relations by Econometric Models</w:t>
      </w:r>
      <w:r>
        <w:rPr>
          <w:rFonts w:ascii="Arial" w:cs="Arial" w:eastAsia="Arial" w:hAnsi="Arial"/>
          <w:sz w:val="22"/>
          <w:szCs w:val="22"/>
        </w:rPr>
        <w:t xml:space="preserve">. Econometrica, 37(3).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Leveson, N. (2011).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Engineering a Safer World: Systems Thinking Applied to Safety</w:t>
      </w:r>
      <w:r>
        <w:rPr>
          <w:rFonts w:ascii="Arial" w:cs="Arial" w:eastAsia="Arial" w:hAnsi="Arial"/>
          <w:sz w:val="22"/>
          <w:szCs w:val="22"/>
        </w:rPr>
        <w:t xml:space="preserve">. MIT Press.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OpenAI. (2023).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GPT-4 Technical Report</w:t>
      </w:r>
      <w:r>
        <w:rPr>
          <w:rFonts w:ascii="Arial" w:cs="Arial" w:eastAsia="Arial" w:hAnsi="Arial"/>
          <w:sz w:val="22"/>
          <w:szCs w:val="22"/>
        </w:rPr>
        <w:t xml:space="preserve">. arXiv:2303.08774.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Weick, K. &amp; Sutcliffe, K. (2007).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Managing the Unexpected: Resilient Performance in an Age of Uncertainty</w:t>
      </w:r>
      <w:r>
        <w:rPr>
          <w:rFonts w:ascii="Arial" w:cs="Arial" w:eastAsia="Arial" w:hAnsi="Arial"/>
          <w:sz w:val="22"/>
          <w:szCs w:val="22"/>
        </w:rPr>
        <w:t xml:space="preserve">. Wiley.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Hendrycks, D., et al. (2023).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An Overview of Catastrophic AI Risks</w:t>
      </w:r>
      <w:r>
        <w:rPr>
          <w:rFonts w:ascii="Arial" w:cs="Arial" w:eastAsia="Arial" w:hAnsi="Arial"/>
          <w:sz w:val="22"/>
          <w:szCs w:val="22"/>
        </w:rPr>
        <w:t xml:space="preserve">. arXiv:2306.12001.</w:t>
      </w:r>
    </w:p>
    <w:p>
      <w:pPr>
        <w:spacing w:after="400"/>
      </w:pPr>
    </w:p>
    <w:p>
      <w:pPr>
        <w:jc w:val="center"/>
      </w:pPr>
      <w:r>
        <w:rPr>
          <w:color w:val="475569"/>
          <w:sz w:val="20"/>
          <w:szCs w:val="20"/>
        </w:rPr>
        <w:t xml:space="preserve">━━━━━━━━━━━━━━━━━━━━━━━━━━━━━━━━━━━━━━━━━━━━━━━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AgentAnchor • Vorion Project</w:t>
      </w:r>
    </w:p>
    <w:p>
      <w:pPr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ATSF v3.4 • January 2026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0d9488"/>
          <w:sz w:val="18"/>
          <w:szCs w:val="18"/>
        </w:rPr>
        <w:t xml:space="preserve">Open Source • MIT License • Community-Driven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8"/>
        <w:szCs w:val="18"/>
      </w:rPr>
      <w:t xml:space="preserve"> | AgentAnchor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475569"/>
        <w:sz w:val="18"/>
        <w:szCs w:val="18"/>
      </w:rPr>
      <w:t xml:space="preserve">ATSF v3.4 Technical White Paper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7556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2026-01-09T03:23:52.056Z</dcterms:created>
  <dcterms:modified xsi:type="dcterms:W3CDTF">2026-01-09T03:23:52.057Z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