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Arial" w:cs="Arial" w:eastAsia="Arial" w:hAnsi="Arial"/>
          <w:b/>
          <w:bCs/>
          <w:color w:val="0f172a"/>
          <w:sz w:val="72"/>
          <w:szCs w:val="72"/>
        </w:rPr>
        <w:t xml:space="preserve">ATSF</w:t>
      </w:r>
    </w:p>
    <w:p>
      <w:pPr>
        <w:spacing w:after="100"/>
        <w:jc w:val="center"/>
      </w:pPr>
      <w:r>
        <w:rPr>
          <w:rFonts w:ascii="Arial" w:cs="Arial" w:eastAsia="Arial" w:hAnsi="Arial"/>
          <w:color w:val="475569"/>
          <w:sz w:val="36"/>
          <w:szCs w:val="36"/>
        </w:rPr>
        <w:t xml:space="preserve">Agentic Trust Scoring Framework</w:t>
      </w:r>
    </w:p>
    <w:p>
      <w:pPr>
        <w:spacing w:after="600"/>
        <w:jc w:val="center"/>
      </w:pPr>
      <w:r>
        <w:rPr>
          <w:rFonts w:ascii="Arial" w:cs="Arial" w:eastAsia="Arial" w:hAnsi="Arial"/>
          <w:color w:val="475569"/>
          <w:sz w:val="28"/>
          <w:szCs w:val="28"/>
        </w:rPr>
        <w:t xml:space="preserve">Version 3.4</w:t>
      </w:r>
    </w:p>
    <w:p>
      <w:pPr>
        <w:spacing w:after="100"/>
        <w:jc w:val="center"/>
      </w:pPr>
      <w:r>
        <w:rPr>
          <w:color w:val="22d3ee"/>
          <w:sz w:val="24"/>
          <w:szCs w:val="24"/>
        </w:rPr>
        <w:t xml:space="preserve">━━━━━━━━━━━━━━━━━━━━━━━━━━━━━━━━━</w:t>
      </w:r>
    </w:p>
    <w:p>
      <w:pPr>
        <w:spacing w:after="600"/>
        <w:jc w:val="center"/>
      </w:pPr>
      <w:r>
        <w:rPr>
          <w:rFonts w:ascii="Arial" w:cs="Arial" w:eastAsia="Arial" w:hAnsi="Arial"/>
          <w:i/>
          <w:iCs/>
          <w:color w:val="475569"/>
          <w:sz w:val="24"/>
          <w:szCs w:val="24"/>
        </w:rPr>
        <w:t xml:space="preserve">Production-Grade AI Agent Safety, Governance &amp; Cognitive Architecture</w:t>
      </w:r>
    </w:p>
    <w:p>
      <w:pPr>
        <w:spacing w:after="400"/>
      </w:pPr>
    </w:p>
    <w:p>
      <w:pPr>
        <w:jc w:val="center"/>
      </w:pPr>
      <w:r>
        <w:rPr>
          <w:rFonts w:ascii="Arial" w:cs="Arial" w:eastAsia="Arial" w:hAnsi="Arial"/>
          <w:b/>
          <w:bCs/>
          <w:sz w:val="28"/>
          <w:szCs w:val="28"/>
        </w:rPr>
        <w:t xml:space="preserve">Technical White Paper</w:t>
      </w:r>
    </w:p>
    <w:p>
      <w:pPr>
        <w:spacing w:after="200"/>
        <w:jc w:val="center"/>
      </w:pPr>
      <w:r>
        <w:rPr>
          <w:rFonts w:ascii="Arial" w:cs="Arial" w:eastAsia="Arial" w:hAnsi="Arial"/>
          <w:color w:val="475569"/>
          <w:sz w:val="22"/>
          <w:szCs w:val="22"/>
        </w:rPr>
        <w:t xml:space="preserve">January 2026</w:t>
      </w:r>
    </w:p>
    <w:p>
      <w:pPr>
        <w:spacing w:after="1200"/>
      </w:pPr>
    </w:p>
    <w:p>
      <w:pPr>
        <w:jc w:val="center"/>
      </w:pPr>
      <w:r>
        <w:rPr>
          <w:rFonts w:ascii="Arial" w:cs="Arial" w:eastAsia="Arial" w:hAnsi="Arial"/>
          <w:b/>
          <w:bCs/>
          <w:sz w:val="24"/>
          <w:szCs w:val="24"/>
        </w:rPr>
        <w:t xml:space="preserve">AgentAnchor</w:t>
      </w:r>
    </w:p>
    <w:p>
      <w:pPr>
        <w:jc w:val="center"/>
      </w:pPr>
      <w:r>
        <w:rPr>
          <w:rFonts w:ascii="Arial" w:cs="Arial" w:eastAsia="Arial" w:hAnsi="Arial"/>
          <w:color w:val="475569"/>
          <w:sz w:val="20"/>
          <w:szCs w:val="20"/>
        </w:rPr>
        <w:t xml:space="preserve">Vorion Project</w:t>
      </w:r>
    </w:p>
    <w:p>
      <w:r>
        <w:br w:type="page"/>
      </w:r>
    </w:p>
    <w:p>
      <w:pPr>
        <w:pStyle w:val="Heading1"/>
        <w:spacing w:before="400" w:after="200"/>
      </w:pPr>
      <w:r>
        <w:rPr>
          <w:rFonts w:ascii="Arial" w:cs="Arial" w:eastAsia="Arial" w:hAnsi="Arial"/>
          <w:b/>
          <w:bCs/>
          <w:color w:val="0f172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0f172a"/>
          <w:sz w:val="36"/>
          <w:szCs w:val="36"/>
        </w:rPr>
        <w:t xml:space="preserve">Executive Summary</w:t>
      </w:r>
    </w:p>
    <w:p>
      <w:pPr>
        <w:spacing w:after="200" w:line="276"/>
        <w:jc w:val="both"/>
      </w:pPr>
      <w:r>
        <w:rPr>
          <w:rFonts w:ascii="Arial" w:cs="Arial" w:eastAsia="Arial" w:hAnsi="Arial"/>
          <w:sz w:val="22"/>
          <w:szCs w:val="22"/>
        </w:rPr>
        <w:t xml:space="preserve">The Agentic Trust Scoring Framework (ATSF) v3.4 represents a comprehensive solution to the fundamental challenges facing autonomous AI agent deployment: maintaining cognitive continuity, ensuring behavioral governance, and providing real-time analytics across temporal dimensions.</w:t>
      </w:r>
    </w:p>
    <w:p>
      <w:pPr>
        <w:spacing w:after="200" w:line="276"/>
        <w:jc w:val="both"/>
      </w:pPr>
      <w:r>
        <w:rPr>
          <w:rFonts w:ascii="Arial" w:cs="Arial" w:eastAsia="Arial" w:hAnsi="Arial"/>
          <w:sz w:val="22"/>
          <w:szCs w:val="22"/>
        </w:rPr>
        <w:t xml:space="preserve">Modern AI agents suffer from context rot, catastrophic forgetting, and the inability to maintain strict adherence to governance protocols over extended operational horizons. While Large Language Models provide semantic reasoning capabilities, they lack the structural rigor required for high-stakes deployments where historical fidelity and regulatory compliance are paramount.</w:t>
      </w:r>
    </w:p>
    <w:p>
      <w:pPr>
        <w:spacing w:after="200" w:line="276"/>
        <w:jc w:val="both"/>
      </w:pPr>
      <w:r>
        <w:rPr>
          <w:rFonts w:ascii="Arial" w:cs="Arial" w:eastAsia="Arial" w:hAnsi="Arial"/>
          <w:sz w:val="22"/>
          <w:szCs w:val="22"/>
        </w:rPr>
        <w:t xml:space="preserve">ATSF addresses these challenges through a novel Cognitive Cube architecture that synthesizes:</w:t>
      </w:r>
    </w:p>
    <w:p>
      <w:pPr>
        <w:pStyle w:val="ListParagraph"/>
        <w:numPr>
          <w:ilvl w:val="0"/>
          <w:numId w:val="2"/>
        </w:numPr>
        <w:spacing w:after="120"/>
      </w:pPr>
      <w:r>
        <w:rPr>
          <w:rFonts w:ascii="Arial" w:cs="Arial" w:eastAsia="Arial" w:hAnsi="Arial"/>
          <w:b/>
          <w:bCs/>
          <w:sz w:val="22"/>
          <w:szCs w:val="22"/>
        </w:rPr>
        <w:t xml:space="preserve">46 Security Layers</w:t>
      </w:r>
      <w:r>
        <w:rPr>
          <w:rFonts w:ascii="Arial" w:cs="Arial" w:eastAsia="Arial" w:hAnsi="Arial"/>
          <w:sz w:val="22"/>
          <w:szCs w:val="22"/>
        </w:rPr>
        <w:t xml:space="preserve"> — Comprehensive threat detection from L0 trust scoring through L46 CI/CD gates</w:t>
      </w:r>
    </w:p>
    <w:p>
      <w:pPr>
        <w:pStyle w:val="ListParagraph"/>
        <w:numPr>
          <w:ilvl w:val="0"/>
          <w:numId w:val="2"/>
        </w:numPr>
        <w:spacing w:after="120"/>
      </w:pPr>
      <w:r>
        <w:rPr>
          <w:rFonts w:ascii="Arial" w:cs="Arial" w:eastAsia="Arial" w:hAnsi="Arial"/>
          <w:b/>
          <w:bCs/>
          <w:sz w:val="22"/>
          <w:szCs w:val="22"/>
        </w:rPr>
        <w:t xml:space="preserve">Multi-Dimensional Data Cubes</w:t>
      </w:r>
      <w:r>
        <w:rPr>
          <w:rFonts w:ascii="Arial" w:cs="Arial" w:eastAsia="Arial" w:hAnsi="Arial"/>
          <w:sz w:val="22"/>
          <w:szCs w:val="22"/>
        </w:rPr>
        <w:t xml:space="preserve"> — OLAP-style analytics with slice, dice, roll-up, drill-down operations</w:t>
      </w:r>
    </w:p>
    <w:p>
      <w:pPr>
        <w:pStyle w:val="ListParagraph"/>
        <w:numPr>
          <w:ilvl w:val="0"/>
          <w:numId w:val="2"/>
        </w:numPr>
        <w:spacing w:after="120"/>
      </w:pPr>
      <w:r>
        <w:rPr>
          <w:rFonts w:ascii="Arial" w:cs="Arial" w:eastAsia="Arial" w:hAnsi="Arial"/>
          <w:b/>
          <w:bCs/>
          <w:sz w:val="22"/>
          <w:szCs w:val="22"/>
        </w:rPr>
        <w:t xml:space="preserve">Temporal Knowledge Graphs</w:t>
      </w:r>
      <w:r>
        <w:rPr>
          <w:rFonts w:ascii="Arial" w:cs="Arial" w:eastAsia="Arial" w:hAnsi="Arial"/>
          <w:sz w:val="22"/>
          <w:szCs w:val="22"/>
        </w:rPr>
        <w:t xml:space="preserve"> — Causal chain discovery through time-stamped quadruples</w:t>
      </w:r>
    </w:p>
    <w:p>
      <w:pPr>
        <w:pStyle w:val="ListParagraph"/>
        <w:numPr>
          <w:ilvl w:val="0"/>
          <w:numId w:val="2"/>
        </w:numPr>
        <w:spacing w:after="120"/>
      </w:pPr>
      <w:r>
        <w:rPr>
          <w:rFonts w:ascii="Arial" w:cs="Arial" w:eastAsia="Arial" w:hAnsi="Arial"/>
          <w:b/>
          <w:bCs/>
          <w:sz w:val="22"/>
          <w:szCs w:val="22"/>
        </w:rPr>
        <w:t xml:space="preserve">Adaptive Resonance Theory Clustering</w:t>
      </w:r>
      <w:r>
        <w:rPr>
          <w:rFonts w:ascii="Arial" w:cs="Arial" w:eastAsia="Arial" w:hAnsi="Arial"/>
          <w:sz w:val="22"/>
          <w:szCs w:val="22"/>
        </w:rPr>
        <w:t xml:space="preserve"> — Automatic effect grouping without supervision</w:t>
      </w:r>
    </w:p>
    <w:p>
      <w:pPr>
        <w:pStyle w:val="ListParagraph"/>
        <w:numPr>
          <w:ilvl w:val="0"/>
          <w:numId w:val="2"/>
        </w:numPr>
        <w:spacing w:after="120"/>
      </w:pPr>
      <w:r>
        <w:rPr>
          <w:rFonts w:ascii="Arial" w:cs="Arial" w:eastAsia="Arial" w:hAnsi="Arial"/>
          <w:b/>
          <w:bCs/>
          <w:sz w:val="22"/>
          <w:szCs w:val="22"/>
        </w:rPr>
        <w:t xml:space="preserve">Constitutional AI Governance</w:t>
      </w:r>
      <w:r>
        <w:rPr>
          <w:rFonts w:ascii="Arial" w:cs="Arial" w:eastAsia="Arial" w:hAnsi="Arial"/>
          <w:sz w:val="22"/>
          <w:szCs w:val="22"/>
        </w:rPr>
        <w:t xml:space="preserve"> — Basis reminders through architectural retrieval constraints</w:t>
      </w:r>
    </w:p>
    <w:p>
      <w:pPr>
        <w:pStyle w:val="ListParagraph"/>
        <w:numPr>
          <w:ilvl w:val="0"/>
          <w:numId w:val="2"/>
        </w:numPr>
        <w:spacing w:after="200"/>
      </w:pPr>
      <w:r>
        <w:rPr>
          <w:rFonts w:ascii="Arial" w:cs="Arial" w:eastAsia="Arial" w:hAnsi="Arial"/>
          <w:b/>
          <w:bCs/>
          <w:sz w:val="22"/>
          <w:szCs w:val="22"/>
        </w:rPr>
        <w:t xml:space="preserve">AI TRiSM Integration</w:t>
      </w:r>
      <w:r>
        <w:rPr>
          <w:rFonts w:ascii="Arial" w:cs="Arial" w:eastAsia="Arial" w:hAnsi="Arial"/>
          <w:sz w:val="22"/>
          <w:szCs w:val="22"/>
        </w:rPr>
        <w:t xml:space="preserve"> — Gartner-aligned governance across four pillars</w:t>
      </w:r>
    </w:p>
    <w:p>
      <w:pPr>
        <w:spacing w:after="200" w:line="276"/>
        <w:jc w:val="both"/>
      </w:pPr>
      <w:r>
        <w:rPr>
          <w:rFonts w:ascii="Arial" w:cs="Arial" w:eastAsia="Arial" w:hAnsi="Arial"/>
          <w:sz w:val="22"/>
          <w:szCs w:val="22"/>
        </w:rPr>
        <w:t xml:space="preserve">The framework comprises 27,275 lines of production-ready Python code, 45+ REST API endpoints, and is designed using generic, open-standard methodologies to ensure IP safety and avoid patent infringement.</w:t>
      </w:r>
    </w:p>
    <w:p>
      <w:r>
        <w:br w:type="page"/>
      </w:r>
    </w:p>
    <w:p>
      <w:pPr>
        <w:pStyle w:val="Heading1"/>
        <w:spacing w:before="400" w:after="200"/>
      </w:pPr>
      <w:r>
        <w:rPr>
          <w:rFonts w:ascii="Arial" w:cs="Arial" w:eastAsia="Arial" w:hAnsi="Arial"/>
          <w:b/>
          <w:bCs/>
          <w:color w:val="0f172a"/>
          <w:sz w:val="36"/>
          <w:szCs w:val="36"/>
        </w:rPr>
        <w:t xml:space="preserve">1. The Structural Crisis in Agentic Cognition</w:t>
      </w:r>
    </w:p>
    <w:p>
      <w:pPr>
        <w:pStyle w:val="Heading2"/>
        <w:spacing w:before="300" w:after="150"/>
      </w:pPr>
      <w:r>
        <w:rPr>
          <w:rFonts w:ascii="Arial" w:cs="Arial" w:eastAsia="Arial" w:hAnsi="Arial"/>
          <w:b/>
          <w:bCs/>
          <w:color w:val="475569"/>
          <w:sz w:val="28"/>
          <w:szCs w:val="28"/>
        </w:rPr>
        <w:t xml:space="preserve">1.1 The Limitations of Pure Vector Memory</w:t>
      </w:r>
    </w:p>
    <w:p>
      <w:pPr>
        <w:spacing w:after="200" w:line="276"/>
        <w:jc w:val="both"/>
      </w:pPr>
      <w:r>
        <w:rPr>
          <w:rFonts w:ascii="Arial" w:cs="Arial" w:eastAsia="Arial" w:hAnsi="Arial"/>
          <w:sz w:val="22"/>
          <w:szCs w:val="22"/>
        </w:rPr>
        <w:t xml:space="preserve">The reliance on vector databases as the sole mechanism for long-term agent memory introduces significant fragility. While efficient for semantic similarity, vector stores fail 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b/>
                <w:bCs/>
                <w:color w:val="FFFFFF"/>
                <w:sz w:val="20"/>
                <w:szCs w:val="20"/>
              </w:rPr>
              <w:t xml:space="preserve">Requirement</w:t>
            </w:r>
          </w:p>
        </w:tc>
        <w:tc>
          <w:tcPr>
            <w:tcW w:type="dxa" w:w="3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b/>
                <w:bCs/>
                <w:color w:val="FFFFFF"/>
                <w:sz w:val="20"/>
                <w:szCs w:val="20"/>
              </w:rPr>
              <w:t xml:space="preserve">Vector DB Limitation</w:t>
            </w:r>
          </w:p>
        </w:tc>
        <w:tc>
          <w:tcPr>
            <w:tcW w:type="dxa" w:w="3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b/>
                <w:bCs/>
                <w:color w:val="FFFFFF"/>
                <w:sz w:val="20"/>
                <w:szCs w:val="20"/>
              </w:rPr>
              <w:t xml:space="preserve">Consequence</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Temporal Precision</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Metadata filtering is secondary</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Cannot distinguish causality from correlation</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Exact Retrieval</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ANN algorithms are probabilistic</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Hallucination of facts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Aggregation</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Cannot perform SUM, COUNT, AVG</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Cannot quantify effect groupings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Governance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Semantic matching can be bypassed</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Safety rules become suggestions</w:t>
            </w:r>
          </w:p>
        </w:tc>
      </w:tr>
    </w:tbl>
    <w:p>
      <w:pPr>
        <w:spacing w:after="200"/>
      </w:pPr>
    </w:p>
    <w:p>
      <w:pPr>
        <w:pStyle w:val="Heading2"/>
        <w:spacing w:before="300" w:after="150"/>
      </w:pPr>
      <w:r>
        <w:rPr>
          <w:rFonts w:ascii="Arial" w:cs="Arial" w:eastAsia="Arial" w:hAnsi="Arial"/>
          <w:b/>
          <w:bCs/>
          <w:color w:val="475569"/>
          <w:sz w:val="28"/>
          <w:szCs w:val="28"/>
        </w:rPr>
        <w:t xml:space="preserve">1.2 The ATSF Solution</w:t>
      </w:r>
    </w:p>
    <w:p>
      <w:pPr>
        <w:spacing w:after="200" w:line="276"/>
        <w:jc w:val="both"/>
      </w:pPr>
      <w:r>
        <w:rPr>
          <w:rFonts w:ascii="Arial" w:cs="Arial" w:eastAsia="Arial" w:hAnsi="Arial"/>
          <w:sz w:val="22"/>
          <w:szCs w:val="22"/>
        </w:rPr>
        <w:t xml:space="preserve">ATSF bridges this gap by synthesizing semantic vectors with the structural rigidity of multidimensional temporal data structures. The Memory Tensor is defined as:</w:t>
      </w:r>
    </w:p>
    <w:p>
      <w:pPr>
        <w:spacing w:before="200" w:after="200"/>
        <w:jc w:val="center"/>
      </w:pPr>
      <w:r>
        <w:rPr>
          <w:rFonts w:ascii="Cambria Math" w:cs="Cambria Math" w:eastAsia="Cambria Math" w:hAnsi="Cambria Math"/>
          <w:i/>
          <w:iCs/>
          <w:sz w:val="28"/>
          <w:szCs w:val="28"/>
        </w:rPr>
        <w:t xml:space="preserve">M ∈ ℝᵀ ˣ ᴱ ˣ ᶜ ˣ ᴬ</w:t>
      </w:r>
    </w:p>
    <w:p>
      <w:pPr>
        <w:spacing w:after="200" w:line="276"/>
        <w:jc w:val="both"/>
      </w:pPr>
      <w:r>
        <w:rPr>
          <w:rFonts w:ascii="Arial" w:cs="Arial" w:eastAsia="Arial" w:hAnsi="Arial"/>
          <w:sz w:val="22"/>
          <w:szCs w:val="22"/>
        </w:rPr>
        <w:t xml:space="preserve">Where T (Time), E (Entity), C (Context), and A (Action) represent the fundamental axes of the agent's operational environment, enabling deterministic slicing and dicing of experience.</w:t>
      </w:r>
    </w:p>
    <w:p>
      <w:r>
        <w:br w:type="page"/>
      </w:r>
    </w:p>
    <w:p>
      <w:pPr>
        <w:pStyle w:val="Heading1"/>
        <w:spacing w:before="400" w:after="200"/>
      </w:pPr>
      <w:r>
        <w:rPr>
          <w:rFonts w:ascii="Arial" w:cs="Arial" w:eastAsia="Arial" w:hAnsi="Arial"/>
          <w:b/>
          <w:bCs/>
          <w:color w:val="0f172a"/>
          <w:sz w:val="36"/>
          <w:szCs w:val="36"/>
        </w:rPr>
        <w:t xml:space="preserve">2. ATSF Architecture</w:t>
      </w:r>
    </w:p>
    <w:p>
      <w:pPr>
        <w:pStyle w:val="Heading2"/>
        <w:spacing w:before="300" w:after="150"/>
      </w:pPr>
      <w:r>
        <w:rPr>
          <w:rFonts w:ascii="Arial" w:cs="Arial" w:eastAsia="Arial" w:hAnsi="Arial"/>
          <w:b/>
          <w:bCs/>
          <w:color w:val="475569"/>
          <w:sz w:val="28"/>
          <w:szCs w:val="28"/>
        </w:rPr>
        <w:t xml:space="preserve">2.1 System Overview</w:t>
      </w:r>
    </w:p>
    <w:p>
      <w:pPr>
        <w:spacing w:after="200" w:line="276"/>
        <w:jc w:val="both"/>
      </w:pPr>
      <w:r>
        <w:rPr>
          <w:rFonts w:ascii="Arial" w:cs="Arial" w:eastAsia="Arial" w:hAnsi="Arial"/>
          <w:sz w:val="22"/>
          <w:szCs w:val="22"/>
        </w:rPr>
        <w:t xml:space="preserve">ATSF v3.4 comprises six integrated subsystems, each addressing a specific aspect of agent cognition and governance: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b/>
                <w:bCs/>
                <w:color w:val="FFFFFF"/>
                <w:sz w:val="20"/>
                <w:szCs w:val="20"/>
              </w:rPr>
              <w:t xml:space="preserve">Subsystem</w:t>
            </w:r>
          </w:p>
        </w:tc>
        <w:tc>
          <w:tcPr>
            <w:tcW w:type="dxa" w:w="6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b/>
                <w:bCs/>
                <w:color w:val="FFFFFF"/>
                <w:sz w:val="20"/>
                <w:szCs w:val="20"/>
              </w:rPr>
              <w:t xml:space="preserve">Responsibility</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Security Layers</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46-layer defense-in-depth (L0-L46) covering trust scoring, frontier safety, behavioral analysis, and CI/CD gates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sz w:val="20"/>
                <w:szCs w:val="20"/>
              </w:rPr>
              <w:t xml:space="preserve">Data Cube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OLAP analytics with multi-dimensional aggregation, time series, anomaly detection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Cognitive Cube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TKG for causal chains, ART clustering for effect groups, Granger causality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sz w:val="20"/>
                <w:szCs w:val="20"/>
              </w:rPr>
              <w:t xml:space="preserve">AI TRiSM</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Gartner 4-pillar governance: Explainability, ModelOps, Security, Privacy</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Constitutional AI</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Basis reminders, authorization-before-retrieval, immutable system blocks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sz w:val="20"/>
                <w:szCs w:val="20"/>
              </w:rPr>
              <w:t xml:space="preserve">Agent Memory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Episodic, semantic, procedural, working memory with decay and consolidation</w:t>
            </w:r>
          </w:p>
        </w:tc>
      </w:tr>
    </w:tbl>
    <w:p>
      <w:pPr>
        <w:spacing w:after="300"/>
      </w:pPr>
    </w:p>
    <w:p>
      <w:pPr>
        <w:pStyle w:val="Heading2"/>
        <w:spacing w:before="300" w:after="150"/>
      </w:pPr>
      <w:r>
        <w:rPr>
          <w:rFonts w:ascii="Arial" w:cs="Arial" w:eastAsia="Arial" w:hAnsi="Arial"/>
          <w:b/>
          <w:bCs/>
          <w:color w:val="475569"/>
          <w:sz w:val="28"/>
          <w:szCs w:val="28"/>
        </w:rPr>
        <w:t xml:space="preserve">2.2 Security Layer Hierarchy</w:t>
      </w:r>
    </w:p>
    <w:p>
      <w:pPr>
        <w:spacing w:after="200" w:line="276"/>
        <w:jc w:val="both"/>
      </w:pPr>
      <w:r>
        <w:rPr>
          <w:rFonts w:ascii="Arial" w:cs="Arial" w:eastAsia="Arial" w:hAnsi="Arial"/>
          <w:sz w:val="22"/>
          <w:szCs w:val="22"/>
        </w:rPr>
        <w:t xml:space="preserve">The 46 security layers are organized into functional categories, each targeting specific threat vectors: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b/>
                <w:bCs/>
                <w:color w:val="FFFFFF"/>
                <w:sz w:val="20"/>
                <w:szCs w:val="20"/>
              </w:rPr>
              <w:t xml:space="preserve">Layers</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b/>
                <w:bCs/>
                <w:color w:val="FFFFFF"/>
                <w:sz w:val="20"/>
                <w:szCs w:val="20"/>
              </w:rPr>
              <w:t xml:space="preserve">Category</w:t>
            </w:r>
          </w:p>
        </w:tc>
        <w:tc>
          <w:tcPr>
            <w:tcW w:type="dxa" w:w="50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b/>
                <w:bCs/>
                <w:color w:val="FFFFFF"/>
                <w:sz w:val="20"/>
                <w:szCs w:val="20"/>
              </w:rPr>
              <w:t xml:space="preserve">Capabilities</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L0-L8</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Core Trust</w:t>
            </w:r>
          </w:p>
        </w:tc>
        <w:tc>
          <w:tcPr>
            <w:tcW w:type="dxa" w:w="5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Trust scoring, velocity caps, tier enforcement, ceiling management</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L9-L13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Frontier Safety</w:t>
            </w:r>
          </w:p>
        </w:tc>
        <w:tc>
          <w:tcPr>
            <w:tcW w:type="dxa" w:w="5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Sandbagging, scheming, instrumental convergence detection</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L14-L19</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Behavioral</w:t>
            </w:r>
          </w:p>
        </w:tc>
        <w:tc>
          <w:tcPr>
            <w:tcW w:type="dxa" w:w="5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Drift detection, intent alignment, reward modeling analysis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L20-L29</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Detection</w:t>
            </w:r>
          </w:p>
        </w:tc>
        <w:tc>
          <w:tcPr>
            <w:tcW w:type="dxa" w:w="5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Traffic analysis, replication prevention, containment protocols</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L30-L42</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Ecosystem</w:t>
            </w:r>
          </w:p>
        </w:tc>
        <w:tc>
          <w:tcPr>
            <w:tcW w:type="dxa" w:w="5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Multi-agent coordination, privilege escalation prevention</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L43-L46</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Advanced</w:t>
            </w:r>
          </w:p>
        </w:tc>
        <w:tc>
          <w:tcPr>
            <w:tcW w:type="dxa" w:w="5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Tool sanitization, reasoning eval, bias probing, CI/CD gate</w:t>
            </w:r>
          </w:p>
        </w:tc>
      </w:tr>
    </w:tbl>
    <w:p>
      <w:r>
        <w:br w:type="page"/>
      </w:r>
    </w:p>
    <w:p>
      <w:pPr>
        <w:pStyle w:val="Heading1"/>
        <w:spacing w:before="400" w:after="200"/>
      </w:pPr>
      <w:r>
        <w:rPr>
          <w:rFonts w:ascii="Arial" w:cs="Arial" w:eastAsia="Arial" w:hAnsi="Arial"/>
          <w:b/>
          <w:bCs/>
          <w:color w:val="0f172a"/>
          <w:sz w:val="36"/>
          <w:szCs w:val="36"/>
        </w:rPr>
        <w:t xml:space="preserve">3. The Cognitive Cube</w:t>
      </w:r>
    </w:p>
    <w:p>
      <w:pPr>
        <w:pStyle w:val="Heading2"/>
        <w:spacing w:before="300" w:after="150"/>
      </w:pPr>
      <w:r>
        <w:rPr>
          <w:rFonts w:ascii="Arial" w:cs="Arial" w:eastAsia="Arial" w:hAnsi="Arial"/>
          <w:b/>
          <w:bCs/>
          <w:color w:val="475569"/>
          <w:sz w:val="28"/>
          <w:szCs w:val="28"/>
        </w:rPr>
        <w:t xml:space="preserve">3.1 Temporal Knowledge Graphs</w:t>
      </w:r>
    </w:p>
    <w:p>
      <w:pPr>
        <w:spacing w:after="200" w:line="276"/>
        <w:jc w:val="both"/>
      </w:pPr>
      <w:r>
        <w:rPr>
          <w:rFonts w:ascii="Arial" w:cs="Arial" w:eastAsia="Arial" w:hAnsi="Arial"/>
          <w:sz w:val="22"/>
          <w:szCs w:val="22"/>
        </w:rPr>
        <w:t xml:space="preserve">Unlike traditional knowledge graphs that use triples (Subject, Predicate, Object), ATSF employs Temporal Knowledge Graphs with quadruples that include temporal validity:</w:t>
      </w:r>
    </w:p>
    <w:p>
      <w:pPr>
        <w:spacing w:before="200" w:after="200"/>
        <w:jc w:val="center"/>
      </w:pPr>
      <w:r>
        <w:rPr>
          <w:rFonts w:ascii="Courier New" w:cs="Courier New" w:eastAsia="Courier New" w:hAnsi="Courier New"/>
          <w:sz w:val="24"/>
          <w:szCs w:val="24"/>
        </w:rPr>
        <w:t xml:space="preserve">(Subject, Predicate, Object, [T_start, T_end])</w:t>
      </w:r>
    </w:p>
    <w:p>
      <w:pPr>
        <w:spacing w:after="200" w:line="276"/>
        <w:jc w:val="both"/>
      </w:pPr>
      <w:r>
        <w:rPr>
          <w:rFonts w:ascii="Arial" w:cs="Arial" w:eastAsia="Arial" w:hAnsi="Arial"/>
          <w:sz w:val="22"/>
          <w:szCs w:val="22"/>
        </w:rPr>
        <w:t xml:space="preserve">This temporal dimension enables causal chain discovery by traversing backwards through time-ordered edges. When an effect is observed, the system can identify all preceding events within a configurable time window that may have contributed to the outcome.</w:t>
      </w:r>
    </w:p>
    <w:p>
      <w:pPr>
        <w:pStyle w:val="Heading3"/>
        <w:spacing w:before="200" w:after="100"/>
      </w:pPr>
      <w:r>
        <w:rPr>
          <w:rFonts w:ascii="Arial" w:cs="Arial" w:eastAsia="Arial" w:hAnsi="Arial"/>
          <w:b/>
          <w:bCs/>
          <w:color w:val="475569"/>
          <w:sz w:val="24"/>
          <w:szCs w:val="24"/>
        </w:rPr>
        <w:t xml:space="preserve">Causal Chain Discovery Algorithm</w:t>
      </w:r>
    </w:p>
    <w:p>
      <w:pPr>
        <w:spacing w:after="200" w:line="276"/>
        <w:jc w:val="both"/>
      </w:pPr>
      <w:r>
        <w:rPr>
          <w:rFonts w:ascii="Arial" w:cs="Arial" w:eastAsia="Arial" w:hAnsi="Arial"/>
          <w:sz w:val="22"/>
          <w:szCs w:val="22"/>
        </w:rPr>
        <w:t xml:space="preserve">The find_causal_chain() method implements a depth-first traversal that:</w:t>
      </w:r>
    </w:p>
    <w:p>
      <w:pPr>
        <w:pStyle w:val="ListParagraph"/>
        <w:numPr>
          <w:ilvl w:val="0"/>
          <w:numId w:val="3"/>
        </w:numPr>
        <w:spacing w:after="120"/>
      </w:pPr>
      <w:r>
        <w:rPr>
          <w:rFonts w:ascii="Arial" w:cs="Arial" w:eastAsia="Arial" w:hAnsi="Arial"/>
          <w:sz w:val="22"/>
          <w:szCs w:val="22"/>
        </w:rPr>
        <w:t xml:space="preserve">Starting from the effect node, finds all edges where this node is the object</w:t>
      </w:r>
    </w:p>
    <w:p>
      <w:pPr>
        <w:pStyle w:val="ListParagraph"/>
        <w:numPr>
          <w:ilvl w:val="0"/>
          <w:numId w:val="3"/>
        </w:numPr>
        <w:spacing w:after="120"/>
      </w:pPr>
      <w:r>
        <w:rPr>
          <w:rFonts w:ascii="Arial" w:cs="Arial" w:eastAsia="Arial" w:hAnsi="Arial"/>
          <w:sz w:val="22"/>
          <w:szCs w:val="22"/>
        </w:rPr>
        <w:t xml:space="preserve">Filters edges where the cause timestamp precedes the effect timestamp</w:t>
      </w:r>
    </w:p>
    <w:p>
      <w:pPr>
        <w:pStyle w:val="ListParagraph"/>
        <w:numPr>
          <w:ilvl w:val="0"/>
          <w:numId w:val="3"/>
        </w:numPr>
        <w:spacing w:after="120"/>
      </w:pPr>
      <w:r>
        <w:rPr>
          <w:rFonts w:ascii="Arial" w:cs="Arial" w:eastAsia="Arial" w:hAnsi="Arial"/>
          <w:sz w:val="22"/>
          <w:szCs w:val="22"/>
        </w:rPr>
        <w:t xml:space="preserve">Applies a time window constraint to ensure temporal proximity</w:t>
      </w:r>
    </w:p>
    <w:p>
      <w:pPr>
        <w:pStyle w:val="ListParagraph"/>
        <w:numPr>
          <w:ilvl w:val="0"/>
          <w:numId w:val="3"/>
        </w:numPr>
        <w:spacing w:after="200"/>
      </w:pPr>
      <w:r>
        <w:rPr>
          <w:rFonts w:ascii="Arial" w:cs="Arial" w:eastAsia="Arial" w:hAnsi="Arial"/>
          <w:sz w:val="22"/>
          <w:szCs w:val="22"/>
        </w:rPr>
        <w:t xml:space="preserve">Recursively traces back through the subject nodes up to max_depth</w:t>
      </w:r>
    </w:p>
    <w:p>
      <w:pPr>
        <w:pStyle w:val="Heading2"/>
        <w:spacing w:before="300" w:after="150"/>
      </w:pPr>
      <w:r>
        <w:rPr>
          <w:rFonts w:ascii="Arial" w:cs="Arial" w:eastAsia="Arial" w:hAnsi="Arial"/>
          <w:b/>
          <w:bCs/>
          <w:color w:val="475569"/>
          <w:sz w:val="28"/>
          <w:szCs w:val="28"/>
        </w:rPr>
        <w:t xml:space="preserve">3.2 Adaptive Resonance Theory Clustering</w:t>
      </w:r>
    </w:p>
    <w:p>
      <w:pPr>
        <w:spacing w:after="200" w:line="276"/>
        <w:jc w:val="both"/>
      </w:pPr>
      <w:r>
        <w:rPr>
          <w:rFonts w:ascii="Arial" w:cs="Arial" w:eastAsia="Arial" w:hAnsi="Arial"/>
          <w:sz w:val="22"/>
          <w:szCs w:val="22"/>
        </w:rPr>
        <w:t xml:space="preserve">For automatic effect grouping without supervision, ATSF implements Adaptive Resonance Theory (ART), a neural network model developed by Grossberg and Carpenter in the 1980s. As foundational academic work, ART is solidly in the public domain, ensuring IP safety.</w:t>
      </w:r>
    </w:p>
    <w:p>
      <w:pPr>
        <w:spacing w:after="200" w:line="276"/>
        <w:jc w:val="both"/>
      </w:pPr>
      <w:r>
        <w:rPr>
          <w:rFonts w:ascii="Arial" w:cs="Arial" w:eastAsia="Arial" w:hAnsi="Arial"/>
          <w:sz w:val="22"/>
          <w:szCs w:val="22"/>
        </w:rPr>
        <w:t xml:space="preserve">ART solves the stability-plasticity dilemma—the challenge of learning new patterns without destroying existing knowledge—through a vigilance parameter (ρ):</w:t>
      </w:r>
    </w:p>
    <w:p>
      <w:pPr>
        <w:pStyle w:val="ListParagraph"/>
        <w:numPr>
          <w:ilvl w:val="0"/>
          <w:numId w:val="2"/>
        </w:numPr>
        <w:spacing w:after="120"/>
      </w:pPr>
      <w:r>
        <w:rPr>
          <w:rFonts w:ascii="Arial" w:cs="Arial" w:eastAsia="Arial" w:hAnsi="Arial"/>
          <w:b/>
          <w:bCs/>
          <w:sz w:val="22"/>
          <w:szCs w:val="22"/>
        </w:rPr>
        <w:t xml:space="preserve">Input Pattern:</w:t>
      </w:r>
      <w:r>
        <w:rPr>
          <w:rFonts w:ascii="Arial" w:cs="Arial" w:eastAsia="Arial" w:hAnsi="Arial"/>
          <w:sz w:val="22"/>
          <w:szCs w:val="22"/>
        </w:rPr>
        <w:t xml:space="preserve"> Agent observes a new outcome vector</w:t>
      </w:r>
    </w:p>
    <w:p>
      <w:pPr>
        <w:pStyle w:val="ListParagraph"/>
        <w:numPr>
          <w:ilvl w:val="0"/>
          <w:numId w:val="2"/>
        </w:numPr>
        <w:spacing w:after="120"/>
      </w:pPr>
      <w:r>
        <w:rPr>
          <w:rFonts w:ascii="Arial" w:cs="Arial" w:eastAsia="Arial" w:hAnsi="Arial"/>
          <w:b/>
          <w:bCs/>
          <w:sz w:val="22"/>
          <w:szCs w:val="22"/>
        </w:rPr>
        <w:t xml:space="preserve">Category Choice:</w:t>
      </w:r>
      <w:r>
        <w:rPr>
          <w:rFonts w:ascii="Arial" w:cs="Arial" w:eastAsia="Arial" w:hAnsi="Arial"/>
          <w:sz w:val="22"/>
          <w:szCs w:val="22"/>
        </w:rPr>
        <w:t xml:space="preserve"> System compares to existing prototype vectors</w:t>
      </w:r>
    </w:p>
    <w:p>
      <w:pPr>
        <w:pStyle w:val="ListParagraph"/>
        <w:numPr>
          <w:ilvl w:val="0"/>
          <w:numId w:val="2"/>
        </w:numPr>
        <w:spacing w:after="120"/>
      </w:pPr>
      <w:r>
        <w:rPr>
          <w:rFonts w:ascii="Arial" w:cs="Arial" w:eastAsia="Arial" w:hAnsi="Arial"/>
          <w:b/>
          <w:bCs/>
          <w:sz w:val="22"/>
          <w:szCs w:val="22"/>
        </w:rPr>
        <w:t xml:space="preserve">Vigilance Check:</w:t>
      </w:r>
      <w:r>
        <w:rPr>
          <w:rFonts w:ascii="Arial" w:cs="Arial" w:eastAsia="Arial" w:hAnsi="Arial"/>
          <w:sz w:val="22"/>
          <w:szCs w:val="22"/>
        </w:rPr>
        <w:t xml:space="preserve"> If Match &gt; ρ, merge (Resonance); if Match &lt; ρ, create new group (Reset)</w:t>
      </w:r>
    </w:p>
    <w:p>
      <w:pPr>
        <w:spacing w:after="200" w:line="276"/>
        <w:jc w:val="both"/>
      </w:pPr>
      <w:r>
        <w:rPr>
          <w:rFonts w:ascii="Arial" w:cs="Arial" w:eastAsia="Arial" w:hAnsi="Arial"/>
          <w:sz w:val="22"/>
          <w:szCs w:val="22"/>
        </w:rPr>
        <w:t xml:space="preserve">Higher vigilance values create more clusters with finer distinctions; lower values create broader groupings. The vigilance can be dynamically adjusted based on operational requirements.</w:t>
      </w:r>
    </w:p>
    <w:p>
      <w:pPr>
        <w:pStyle w:val="Heading2"/>
        <w:spacing w:before="300" w:after="150"/>
      </w:pPr>
      <w:r>
        <w:rPr>
          <w:rFonts w:ascii="Arial" w:cs="Arial" w:eastAsia="Arial" w:hAnsi="Arial"/>
          <w:b/>
          <w:bCs/>
          <w:color w:val="475569"/>
          <w:sz w:val="28"/>
          <w:szCs w:val="28"/>
        </w:rPr>
        <w:t xml:space="preserve">3.3 Granger Causality</w:t>
      </w:r>
    </w:p>
    <w:p>
      <w:pPr>
        <w:spacing w:after="200" w:line="276"/>
        <w:jc w:val="both"/>
      </w:pPr>
      <w:r>
        <w:rPr>
          <w:rFonts w:ascii="Arial" w:cs="Arial" w:eastAsia="Arial" w:hAnsi="Arial"/>
          <w:sz w:val="22"/>
          <w:szCs w:val="22"/>
        </w:rPr>
        <w:t xml:space="preserve">For numerical time series data, ATSF employs Granger Causality testing to establish effect groupings statistically. A variable X Granger-causes Y if past values of X contain information that helps predict Y beyond Y's own history.</w:t>
      </w:r>
    </w:p>
    <w:p>
      <w:pPr>
        <w:spacing w:after="200" w:line="276"/>
        <w:jc w:val="both"/>
      </w:pPr>
      <w:r>
        <w:rPr>
          <w:rFonts w:ascii="Arial" w:cs="Arial" w:eastAsia="Arial" w:hAnsi="Arial"/>
          <w:sz w:val="22"/>
          <w:szCs w:val="22"/>
        </w:rPr>
        <w:t xml:space="preserve">The test fits two regression models and compares their predictive power using an F-statistic. This statistical approach is robust, generic, and legally safe as a standard econometric technique.</w:t>
      </w:r>
    </w:p>
    <w:p>
      <w:r>
        <w:br w:type="page"/>
      </w:r>
    </w:p>
    <w:p>
      <w:pPr>
        <w:pStyle w:val="Heading1"/>
        <w:spacing w:before="400" w:after="200"/>
      </w:pPr>
      <w:r>
        <w:rPr>
          <w:rFonts w:ascii="Arial" w:cs="Arial" w:eastAsia="Arial" w:hAnsi="Arial"/>
          <w:b/>
          <w:bCs/>
          <w:color w:val="0f172a"/>
          <w:sz w:val="36"/>
          <w:szCs w:val="36"/>
        </w:rPr>
        <w:t xml:space="preserve">4. Constitutional AI Governance</w:t>
      </w:r>
    </w:p>
    <w:p>
      <w:pPr>
        <w:pStyle w:val="Heading2"/>
        <w:spacing w:before="300" w:after="150"/>
      </w:pPr>
      <w:r>
        <w:rPr>
          <w:rFonts w:ascii="Arial" w:cs="Arial" w:eastAsia="Arial" w:hAnsi="Arial"/>
          <w:b/>
          <w:bCs/>
          <w:color w:val="475569"/>
          <w:sz w:val="28"/>
          <w:szCs w:val="28"/>
        </w:rPr>
        <w:t xml:space="preserve">4.1 Basis Reminders</w:t>
      </w:r>
    </w:p>
    <w:p>
      <w:pPr>
        <w:spacing w:after="200" w:line="276"/>
        <w:jc w:val="both"/>
      </w:pPr>
      <w:r>
        <w:rPr>
          <w:rFonts w:ascii="Arial" w:cs="Arial" w:eastAsia="Arial" w:hAnsi="Arial"/>
          <w:sz w:val="22"/>
          <w:szCs w:val="22"/>
        </w:rPr>
        <w:t xml:space="preserve">Basis Reminders ensure that an agent adheres to its core programming and ethical guidelines regardless of context. ATSF implements this not as model alignment training (which is heavily patented) but as Architectural Retrieval Constraints.</w:t>
      </w:r>
    </w:p>
    <w:p>
      <w:pPr>
        <w:pStyle w:val="Heading3"/>
        <w:spacing w:before="200" w:after="100"/>
      </w:pPr>
      <w:r>
        <w:rPr>
          <w:rFonts w:ascii="Arial" w:cs="Arial" w:eastAsia="Arial" w:hAnsi="Arial"/>
          <w:b/>
          <w:bCs/>
          <w:color w:val="475569"/>
          <w:sz w:val="24"/>
          <w:szCs w:val="24"/>
        </w:rPr>
        <w:t xml:space="preserve">The Authorization Before Retrieval Pattern</w:t>
      </w:r>
    </w:p>
    <w:p>
      <w:pPr>
        <w:spacing w:after="200" w:line="276"/>
        <w:jc w:val="both"/>
      </w:pPr>
      <w:r>
        <w:rPr>
          <w:rFonts w:ascii="Arial" w:cs="Arial" w:eastAsia="Arial" w:hAnsi="Arial"/>
          <w:sz w:val="22"/>
          <w:szCs w:val="22"/>
        </w:rPr>
        <w:t xml:space="preserve">Before the agent retrieves any data from its memory cube, the query is intercepted by a Policy Engine:</w:t>
      </w:r>
    </w:p>
    <w:p>
      <w:pPr>
        <w:pStyle w:val="ListParagraph"/>
        <w:numPr>
          <w:ilvl w:val="0"/>
          <w:numId w:val="3"/>
        </w:numPr>
        <w:spacing w:after="120"/>
      </w:pPr>
      <w:r>
        <w:rPr>
          <w:rFonts w:ascii="Arial" w:cs="Arial" w:eastAsia="Arial" w:hAnsi="Arial"/>
          <w:b/>
          <w:bCs/>
          <w:sz w:val="22"/>
          <w:szCs w:val="22"/>
        </w:rPr>
        <w:t xml:space="preserve">Policy Definition:</w:t>
      </w:r>
      <w:r>
        <w:rPr>
          <w:rFonts w:ascii="Arial" w:cs="Arial" w:eastAsia="Arial" w:hAnsi="Arial"/>
          <w:sz w:val="22"/>
          <w:szCs w:val="22"/>
        </w:rPr>
        <w:t xml:space="preserve"> Rules are defined declaratively with keywords and categories</w:t>
      </w:r>
    </w:p>
    <w:p>
      <w:pPr>
        <w:pStyle w:val="ListParagraph"/>
        <w:numPr>
          <w:ilvl w:val="0"/>
          <w:numId w:val="3"/>
        </w:numPr>
        <w:spacing w:after="120"/>
      </w:pPr>
      <w:r>
        <w:rPr>
          <w:rFonts w:ascii="Arial" w:cs="Arial" w:eastAsia="Arial" w:hAnsi="Arial"/>
          <w:b/>
          <w:bCs/>
          <w:sz w:val="22"/>
          <w:szCs w:val="22"/>
        </w:rPr>
        <w:t xml:space="preserve">Query Interception:</w:t>
      </w:r>
      <w:r>
        <w:rPr>
          <w:rFonts w:ascii="Arial" w:cs="Arial" w:eastAsia="Arial" w:hAnsi="Arial"/>
          <w:sz w:val="22"/>
          <w:szCs w:val="22"/>
        </w:rPr>
        <w:t xml:space="preserve"> User queries are checked against constitutional rules</w:t>
      </w:r>
    </w:p>
    <w:p>
      <w:pPr>
        <w:pStyle w:val="ListParagraph"/>
        <w:numPr>
          <w:ilvl w:val="0"/>
          <w:numId w:val="3"/>
        </w:numPr>
        <w:spacing w:after="200"/>
      </w:pPr>
      <w:r>
        <w:rPr>
          <w:rFonts w:ascii="Arial" w:cs="Arial" w:eastAsia="Arial" w:hAnsi="Arial"/>
          <w:b/>
          <w:bCs/>
          <w:sz w:val="22"/>
          <w:szCs w:val="22"/>
        </w:rPr>
        <w:t xml:space="preserve">Filter Application:</w:t>
      </w:r>
      <w:r>
        <w:rPr>
          <w:rFonts w:ascii="Arial" w:cs="Arial" w:eastAsia="Arial" w:hAnsi="Arial"/>
          <w:sz w:val="22"/>
          <w:szCs w:val="22"/>
        </w:rPr>
        <w:t xml:space="preserve"> Prohibited terms trigger filters that prevent retrieval</w:t>
      </w:r>
    </w:p>
    <w:p>
      <w:pPr>
        <w:spacing w:after="200" w:line="276"/>
        <w:jc w:val="both"/>
      </w:pPr>
      <w:r>
        <w:rPr>
          <w:rFonts w:ascii="Arial" w:cs="Arial" w:eastAsia="Arial" w:hAnsi="Arial"/>
          <w:sz w:val="22"/>
          <w:szCs w:val="22"/>
        </w:rPr>
        <w:t xml:space="preserve">This ensures that safety rules are structurally enforced. The agent literally cannot remember prohibited data, rendering it incapable of leaking sensitive information.</w:t>
      </w:r>
    </w:p>
    <w:p>
      <w:pPr>
        <w:pStyle w:val="Heading3"/>
        <w:spacing w:before="200" w:after="100"/>
      </w:pPr>
      <w:r>
        <w:rPr>
          <w:rFonts w:ascii="Arial" w:cs="Arial" w:eastAsia="Arial" w:hAnsi="Arial"/>
          <w:b/>
          <w:bCs/>
          <w:color w:val="475569"/>
          <w:sz w:val="24"/>
          <w:szCs w:val="24"/>
        </w:rPr>
        <w:t xml:space="preserve">The Immutable System Block</w:t>
      </w:r>
    </w:p>
    <w:p>
      <w:pPr>
        <w:spacing w:after="200" w:line="276"/>
        <w:jc w:val="both"/>
      </w:pPr>
      <w:r>
        <w:rPr>
          <w:rFonts w:ascii="Arial" w:cs="Arial" w:eastAsia="Arial" w:hAnsi="Arial"/>
          <w:sz w:val="22"/>
          <w:szCs w:val="22"/>
        </w:rPr>
        <w:t xml:space="preserve">The Context Engineering approach structures prompts with rigid sections:</w:t>
      </w:r>
    </w:p>
    <w:p>
      <w:pPr>
        <w:pStyle w:val="ListParagraph"/>
        <w:numPr>
          <w:ilvl w:val="0"/>
          <w:numId w:val="2"/>
        </w:numPr>
        <w:spacing w:after="120"/>
      </w:pPr>
      <w:r>
        <w:rPr>
          <w:rFonts w:ascii="Arial" w:cs="Arial" w:eastAsia="Arial" w:hAnsi="Arial"/>
          <w:b/>
          <w:bCs/>
          <w:sz w:val="22"/>
          <w:szCs w:val="22"/>
        </w:rPr>
        <w:t xml:space="preserve">System Block (Immutable):</w:t>
      </w:r>
      <w:r>
        <w:rPr>
          <w:rFonts w:ascii="Arial" w:cs="Arial" w:eastAsia="Arial" w:hAnsi="Arial"/>
          <w:sz w:val="22"/>
          <w:szCs w:val="22"/>
        </w:rPr>
        <w:t xml:space="preserve"> Contains the Constitution, pinned to context start</w:t>
      </w:r>
    </w:p>
    <w:p>
      <w:pPr>
        <w:pStyle w:val="ListParagraph"/>
        <w:numPr>
          <w:ilvl w:val="0"/>
          <w:numId w:val="2"/>
        </w:numPr>
        <w:spacing w:after="120"/>
      </w:pPr>
      <w:r>
        <w:rPr>
          <w:rFonts w:ascii="Arial" w:cs="Arial" w:eastAsia="Arial" w:hAnsi="Arial"/>
          <w:b/>
          <w:bCs/>
          <w:sz w:val="22"/>
          <w:szCs w:val="22"/>
        </w:rPr>
        <w:t xml:space="preserve">Episodic Block (Dynamic):</w:t>
      </w:r>
      <w:r>
        <w:rPr>
          <w:rFonts w:ascii="Arial" w:cs="Arial" w:eastAsia="Arial" w:hAnsi="Arial"/>
          <w:sz w:val="22"/>
          <w:szCs w:val="22"/>
        </w:rPr>
        <w:t xml:space="preserve"> Filled with data from the Date Cube</w:t>
      </w:r>
    </w:p>
    <w:p>
      <w:pPr>
        <w:pStyle w:val="ListParagraph"/>
        <w:numPr>
          <w:ilvl w:val="0"/>
          <w:numId w:val="2"/>
        </w:numPr>
        <w:spacing w:after="200"/>
      </w:pPr>
      <w:r>
        <w:rPr>
          <w:rFonts w:ascii="Arial" w:cs="Arial" w:eastAsia="Arial" w:hAnsi="Arial"/>
          <w:b/>
          <w:bCs/>
          <w:sz w:val="22"/>
          <w:szCs w:val="22"/>
        </w:rPr>
        <w:t xml:space="preserve">Working Block (Mutable):</w:t>
      </w:r>
      <w:r>
        <w:rPr>
          <w:rFonts w:ascii="Arial" w:cs="Arial" w:eastAsia="Arial" w:hAnsi="Arial"/>
          <w:sz w:val="22"/>
          <w:szCs w:val="22"/>
        </w:rPr>
        <w:t xml:space="preserve"> The current conversation</w:t>
      </w:r>
    </w:p>
    <w:p>
      <w:pPr>
        <w:spacing w:after="200" w:line="276"/>
        <w:jc w:val="both"/>
      </w:pPr>
      <w:r>
        <w:rPr>
          <w:rFonts w:ascii="Arial" w:cs="Arial" w:eastAsia="Arial" w:hAnsi="Arial"/>
          <w:sz w:val="22"/>
          <w:szCs w:val="22"/>
        </w:rPr>
        <w:t xml:space="preserve">By treating the System Block as an invariant dimension, the agent is reminded of its basis at every inference step.</w:t>
      </w:r>
    </w:p>
    <w:p>
      <w:pPr>
        <w:pStyle w:val="Heading2"/>
        <w:spacing w:before="300" w:after="150"/>
      </w:pPr>
      <w:r>
        <w:rPr>
          <w:rFonts w:ascii="Arial" w:cs="Arial" w:eastAsia="Arial" w:hAnsi="Arial"/>
          <w:b/>
          <w:bCs/>
          <w:color w:val="475569"/>
          <w:sz w:val="28"/>
          <w:szCs w:val="28"/>
        </w:rPr>
        <w:t xml:space="preserve">4.2 Hybrid Search for Rule Retrieval</w:t>
      </w:r>
    </w:p>
    <w:p>
      <w:pPr>
        <w:spacing w:after="200" w:line="276"/>
        <w:jc w:val="both"/>
      </w:pPr>
      <w:r>
        <w:rPr>
          <w:rFonts w:ascii="Arial" w:cs="Arial" w:eastAsia="Arial" w:hAnsi="Arial"/>
          <w:sz w:val="22"/>
          <w:szCs w:val="22"/>
        </w:rPr>
        <w:t xml:space="preserve">Not all constitutional rules are relevant at all times. ATSF dynamically injects the correct rules using Hybrid Search that combines:</w:t>
      </w:r>
    </w:p>
    <w:p>
      <w:pPr>
        <w:pStyle w:val="ListParagraph"/>
        <w:numPr>
          <w:ilvl w:val="0"/>
          <w:numId w:val="2"/>
        </w:numPr>
        <w:spacing w:after="120"/>
      </w:pPr>
      <w:r>
        <w:rPr>
          <w:rFonts w:ascii="Arial" w:cs="Arial" w:eastAsia="Arial" w:hAnsi="Arial"/>
          <w:b/>
          <w:bCs/>
          <w:sz w:val="22"/>
          <w:szCs w:val="22"/>
        </w:rPr>
        <w:t xml:space="preserve">BM25 Keyword Search:</w:t>
      </w:r>
      <w:r>
        <w:rPr>
          <w:rFonts w:ascii="Arial" w:cs="Arial" w:eastAsia="Arial" w:hAnsi="Arial"/>
          <w:sz w:val="22"/>
          <w:szCs w:val="22"/>
        </w:rPr>
        <w:t xml:space="preserve"> Index the Constitution using keywords for exact matching</w:t>
      </w:r>
    </w:p>
    <w:p>
      <w:pPr>
        <w:pStyle w:val="ListParagraph"/>
        <w:numPr>
          <w:ilvl w:val="0"/>
          <w:numId w:val="2"/>
        </w:numPr>
        <w:spacing w:after="120"/>
      </w:pPr>
      <w:r>
        <w:rPr>
          <w:rFonts w:ascii="Arial" w:cs="Arial" w:eastAsia="Arial" w:hAnsi="Arial"/>
          <w:b/>
          <w:bCs/>
          <w:sz w:val="22"/>
          <w:szCs w:val="22"/>
        </w:rPr>
        <w:t xml:space="preserve">Vector Search:</w:t>
      </w:r>
      <w:r>
        <w:rPr>
          <w:rFonts w:ascii="Arial" w:cs="Arial" w:eastAsia="Arial" w:hAnsi="Arial"/>
          <w:sz w:val="22"/>
          <w:szCs w:val="22"/>
        </w:rPr>
        <w:t xml:space="preserve"> Retrieve semantically related rules</w:t>
      </w:r>
    </w:p>
    <w:p>
      <w:pPr>
        <w:pStyle w:val="ListParagraph"/>
        <w:numPr>
          <w:ilvl w:val="0"/>
          <w:numId w:val="2"/>
        </w:numPr>
        <w:spacing w:after="200"/>
      </w:pPr>
      <w:r>
        <w:rPr>
          <w:rFonts w:ascii="Arial" w:cs="Arial" w:eastAsia="Arial" w:hAnsi="Arial"/>
          <w:b/>
          <w:bCs/>
          <w:sz w:val="22"/>
          <w:szCs w:val="22"/>
        </w:rPr>
        <w:t xml:space="preserve">Score Fusion:</w:t>
      </w:r>
      <w:r>
        <w:rPr>
          <w:rFonts w:ascii="Arial" w:cs="Arial" w:eastAsia="Arial" w:hAnsi="Arial"/>
          <w:sz w:val="22"/>
          <w:szCs w:val="22"/>
        </w:rPr>
        <w:t xml:space="preserve"> Combine results with configurable weighting</w:t>
      </w:r>
    </w:p>
    <w:p>
      <w:pPr>
        <w:spacing w:after="200" w:line="276"/>
        <w:jc w:val="both"/>
      </w:pPr>
      <w:r>
        <w:rPr>
          <w:rFonts w:ascii="Arial" w:cs="Arial" w:eastAsia="Arial" w:hAnsi="Arial"/>
          <w:sz w:val="22"/>
          <w:szCs w:val="22"/>
        </w:rPr>
        <w:t xml:space="preserve">This ensures that when the agent enters a dangerous semantic space, the relevant Basis Reminders are automatically retrieved and injected.</w:t>
      </w:r>
    </w:p>
    <w:p>
      <w:r>
        <w:br w:type="page"/>
      </w:r>
    </w:p>
    <w:p>
      <w:pPr>
        <w:pStyle w:val="Heading1"/>
        <w:spacing w:before="400" w:after="200"/>
      </w:pPr>
      <w:r>
        <w:rPr>
          <w:rFonts w:ascii="Arial" w:cs="Arial" w:eastAsia="Arial" w:hAnsi="Arial"/>
          <w:b/>
          <w:bCs/>
          <w:color w:val="0f172a"/>
          <w:sz w:val="36"/>
          <w:szCs w:val="36"/>
        </w:rPr>
        <w:t xml:space="preserve">5. AI TRiSM Integration</w:t>
      </w:r>
    </w:p>
    <w:p>
      <w:pPr>
        <w:spacing w:after="200" w:line="276"/>
        <w:jc w:val="both"/>
      </w:pPr>
      <w:r>
        <w:rPr>
          <w:rFonts w:ascii="Arial" w:cs="Arial" w:eastAsia="Arial" w:hAnsi="Arial"/>
          <w:sz w:val="22"/>
          <w:szCs w:val="22"/>
        </w:rPr>
        <w:t xml:space="preserve">ATSF implements the Gartner AI TRiSM (Trust, Risk, and Security Management) framework across four pillars:</w:t>
      </w:r>
    </w:p>
    <w:p>
      <w:pPr>
        <w:pStyle w:val="Heading2"/>
        <w:spacing w:before="300" w:after="150"/>
      </w:pPr>
      <w:r>
        <w:rPr>
          <w:rFonts w:ascii="Arial" w:cs="Arial" w:eastAsia="Arial" w:hAnsi="Arial"/>
          <w:b/>
          <w:bCs/>
          <w:color w:val="475569"/>
          <w:sz w:val="28"/>
          <w:szCs w:val="28"/>
        </w:rPr>
        <w:t xml:space="preserve">5.1 The Four Pillars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b/>
                <w:bCs/>
                <w:color w:val="FFFFFF"/>
                <w:sz w:val="20"/>
                <w:szCs w:val="20"/>
              </w:rPr>
              <w:t xml:space="preserve">Pillar</w:t>
            </w:r>
          </w:p>
        </w:tc>
        <w:tc>
          <w:tcPr>
            <w:tcW w:type="dxa" w:w="7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b/>
                <w:bCs/>
                <w:color w:val="FFFFFF"/>
                <w:sz w:val="20"/>
                <w:szCs w:val="20"/>
              </w:rPr>
              <w:t xml:space="preserve">Implementation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Explainability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Decision audit logging with cryptographic hashing, human-readable explanations, reproducibility verification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sz w:val="20"/>
                <w:szCs w:val="20"/>
              </w:rPr>
              <w:t xml:space="preserve">ModelOps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Version control, kill switch with configurable triggers, rollback capabilities, shadow testing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AI Security</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Adversarial defense detecting 6 attack types, threat scoring, pattern recognition, blocked source management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sz w:val="20"/>
                <w:szCs w:val="20"/>
              </w:rPr>
              <w:t xml:space="preserve">Privacy</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4 privacy risk types, differential privacy capabilities, PII detection, consent tracking</w:t>
            </w:r>
          </w:p>
        </w:tc>
      </w:tr>
    </w:tbl>
    <w:p>
      <w:pPr>
        <w:spacing w:after="300"/>
      </w:pPr>
    </w:p>
    <w:p>
      <w:pPr>
        <w:pStyle w:val="Heading2"/>
        <w:spacing w:before="300" w:after="150"/>
      </w:pPr>
      <w:r>
        <w:rPr>
          <w:rFonts w:ascii="Arial" w:cs="Arial" w:eastAsia="Arial" w:hAnsi="Arial"/>
          <w:b/>
          <w:bCs/>
          <w:color w:val="475569"/>
          <w:sz w:val="28"/>
          <w:szCs w:val="28"/>
        </w:rPr>
        <w:t xml:space="preserve">5.2 Kill Switch Mechanism</w:t>
      </w:r>
    </w:p>
    <w:p>
      <w:pPr>
        <w:spacing w:after="200" w:line="276"/>
        <w:jc w:val="both"/>
      </w:pPr>
      <w:r>
        <w:rPr>
          <w:rFonts w:ascii="Arial" w:cs="Arial" w:eastAsia="Arial" w:hAnsi="Arial"/>
          <w:sz w:val="22"/>
          <w:szCs w:val="22"/>
        </w:rPr>
        <w:t xml:space="preserve">The ModelOps pillar includes a configurable kill switch with automatic triggers:</w:t>
      </w:r>
    </w:p>
    <w:p>
      <w:pPr>
        <w:pStyle w:val="ListParagraph"/>
        <w:numPr>
          <w:ilvl w:val="0"/>
          <w:numId w:val="2"/>
        </w:numPr>
        <w:spacing w:after="120"/>
      </w:pPr>
      <w:r>
        <w:rPr>
          <w:rFonts w:ascii="Arial" w:cs="Arial" w:eastAsia="Arial" w:hAnsi="Arial"/>
          <w:b/>
          <w:bCs/>
          <w:sz w:val="22"/>
          <w:szCs w:val="22"/>
        </w:rPr>
        <w:t xml:space="preserve">High Risk Rate:</w:t>
      </w:r>
      <w:r>
        <w:rPr>
          <w:rFonts w:ascii="Arial" w:cs="Arial" w:eastAsia="Arial" w:hAnsi="Arial"/>
          <w:sz w:val="22"/>
          <w:szCs w:val="22"/>
        </w:rPr>
        <w:t xml:space="preserve"> Triggers when &gt;10% of actions exceed risk threshold</w:t>
      </w:r>
    </w:p>
    <w:p>
      <w:pPr>
        <w:pStyle w:val="ListParagraph"/>
        <w:numPr>
          <w:ilvl w:val="0"/>
          <w:numId w:val="2"/>
        </w:numPr>
        <w:spacing w:after="120"/>
      </w:pPr>
      <w:r>
        <w:rPr>
          <w:rFonts w:ascii="Arial" w:cs="Arial" w:eastAsia="Arial" w:hAnsi="Arial"/>
          <w:b/>
          <w:bCs/>
          <w:sz w:val="22"/>
          <w:szCs w:val="22"/>
        </w:rPr>
        <w:t xml:space="preserve">Injection Detection:</w:t>
      </w:r>
      <w:r>
        <w:rPr>
          <w:rFonts w:ascii="Arial" w:cs="Arial" w:eastAsia="Arial" w:hAnsi="Arial"/>
          <w:sz w:val="22"/>
          <w:szCs w:val="22"/>
        </w:rPr>
        <w:t xml:space="preserve"> Triggers on prompt injection attacks</w:t>
      </w:r>
    </w:p>
    <w:p>
      <w:pPr>
        <w:pStyle w:val="ListParagraph"/>
        <w:numPr>
          <w:ilvl w:val="0"/>
          <w:numId w:val="2"/>
        </w:numPr>
        <w:spacing w:after="120"/>
      </w:pPr>
      <w:r>
        <w:rPr>
          <w:rFonts w:ascii="Arial" w:cs="Arial" w:eastAsia="Arial" w:hAnsi="Arial"/>
          <w:b/>
          <w:bCs/>
          <w:sz w:val="22"/>
          <w:szCs w:val="22"/>
        </w:rPr>
        <w:t xml:space="preserve">Critical Drift:</w:t>
      </w:r>
      <w:r>
        <w:rPr>
          <w:rFonts w:ascii="Arial" w:cs="Arial" w:eastAsia="Arial" w:hAnsi="Arial"/>
          <w:sz w:val="22"/>
          <w:szCs w:val="22"/>
        </w:rPr>
        <w:t xml:space="preserve"> Triggers when behavioral drift exceeds tolerance</w:t>
      </w:r>
    </w:p>
    <w:p>
      <w:pPr>
        <w:pStyle w:val="ListParagraph"/>
        <w:numPr>
          <w:ilvl w:val="0"/>
          <w:numId w:val="2"/>
        </w:numPr>
        <w:spacing w:after="200"/>
      </w:pPr>
      <w:r>
        <w:rPr>
          <w:rFonts w:ascii="Arial" w:cs="Arial" w:eastAsia="Arial" w:hAnsi="Arial"/>
          <w:b/>
          <w:bCs/>
          <w:sz w:val="22"/>
          <w:szCs w:val="22"/>
        </w:rPr>
        <w:t xml:space="preserve">Denial Spike:</w:t>
      </w:r>
      <w:r>
        <w:rPr>
          <w:rFonts w:ascii="Arial" w:cs="Arial" w:eastAsia="Arial" w:hAnsi="Arial"/>
          <w:sz w:val="22"/>
          <w:szCs w:val="22"/>
        </w:rPr>
        <w:t xml:space="preserve"> Triggers on sudden increase in denied actions</w:t>
      </w:r>
    </w:p>
    <w:p>
      <w:pPr>
        <w:spacing w:after="200" w:line="276"/>
        <w:jc w:val="both"/>
      </w:pPr>
      <w:r>
        <w:rPr>
          <w:rFonts w:ascii="Arial" w:cs="Arial" w:eastAsia="Arial" w:hAnsi="Arial"/>
          <w:sz w:val="22"/>
          <w:szCs w:val="22"/>
        </w:rPr>
        <w:t xml:space="preserve">When triggered, the kill switch halts all agent operations until manual reset with documented reason.</w:t>
      </w:r>
    </w:p>
    <w:p>
      <w:r>
        <w:br w:type="page"/>
      </w:r>
    </w:p>
    <w:p>
      <w:pPr>
        <w:pStyle w:val="Heading1"/>
        <w:spacing w:before="400" w:after="200"/>
      </w:pPr>
      <w:r>
        <w:rPr>
          <w:rFonts w:ascii="Arial" w:cs="Arial" w:eastAsia="Arial" w:hAnsi="Arial"/>
          <w:b/>
          <w:bCs/>
          <w:color w:val="0f172a"/>
          <w:sz w:val="36"/>
          <w:szCs w:val="36"/>
        </w:rPr>
        <w:t xml:space="preserve">6. Intellectual Property Safety</w:t>
      </w:r>
    </w:p>
    <w:p>
      <w:pPr>
        <w:spacing w:after="200" w:line="276"/>
        <w:jc w:val="both"/>
      </w:pPr>
      <w:r>
        <w:rPr>
          <w:rFonts w:ascii="Arial" w:cs="Arial" w:eastAsia="Arial" w:hAnsi="Arial"/>
          <w:sz w:val="22"/>
          <w:szCs w:val="22"/>
        </w:rPr>
        <w:t xml:space="preserve">A critical design constraint of ATSF is avoiding IP and patent infringement. The architecture is built using generic primitives and open-source standards, relying on prior art from data warehousing, graph theory, and classical neural networks.</w:t>
      </w:r>
    </w:p>
    <w:p>
      <w:pPr>
        <w:pStyle w:val="Heading2"/>
        <w:spacing w:before="300" w:after="150"/>
      </w:pPr>
      <w:r>
        <w:rPr>
          <w:rFonts w:ascii="Arial" w:cs="Arial" w:eastAsia="Arial" w:hAnsi="Arial"/>
          <w:b/>
          <w:bCs/>
          <w:color w:val="475569"/>
          <w:sz w:val="28"/>
          <w:szCs w:val="28"/>
        </w:rPr>
        <w:t xml:space="preserve">6.1 Patent-Safe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b/>
                <w:bCs/>
                <w:color w:val="FFFFFF"/>
                <w:sz w:val="20"/>
                <w:szCs w:val="20"/>
              </w:rPr>
              <w:t xml:space="preserve">Component</w:t>
            </w:r>
          </w:p>
        </w:tc>
        <w:tc>
          <w:tcPr>
            <w:tcW w:type="dxa" w:w="3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b/>
                <w:bCs/>
                <w:color w:val="FFFFFF"/>
                <w:sz w:val="20"/>
                <w:szCs w:val="20"/>
              </w:rPr>
              <w:t xml:space="preserve">Generic Concept</w:t>
            </w:r>
          </w:p>
        </w:tc>
        <w:tc>
          <w:tcPr>
            <w:tcW w:type="dxa" w:w="38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b/>
                <w:bCs/>
                <w:color w:val="FFFFFF"/>
                <w:sz w:val="20"/>
                <w:szCs w:val="20"/>
              </w:rPr>
              <w:t xml:space="preserve">Why IP Safe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Memory Store</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Multidimensional Array</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Standard LSM trees, columnar storage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Semantic Index</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Nearest Neighbor Search</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HNSW is published academic algorithm</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Causal Graph</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Directed Acyclic Graph</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Standard Graph Theory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Clustering</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Adaptive Resonance Theory</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1980s academic prior art</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Causality</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Granger Test</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Standard econometric technique</w:t>
            </w:r>
          </w:p>
        </w:tc>
      </w:tr>
    </w:tbl>
    <w:p>
      <w:pPr>
        <w:spacing w:after="300"/>
      </w:pPr>
    </w:p>
    <w:p>
      <w:pPr>
        <w:pStyle w:val="Heading2"/>
        <w:spacing w:before="300" w:after="150"/>
      </w:pPr>
      <w:r>
        <w:rPr>
          <w:rFonts w:ascii="Arial" w:cs="Arial" w:eastAsia="Arial" w:hAnsi="Arial"/>
          <w:b/>
          <w:bCs/>
          <w:color w:val="475569"/>
          <w:sz w:val="28"/>
          <w:szCs w:val="28"/>
        </w:rPr>
        <w:t xml:space="preserve">6.2 Terminology Defense</w:t>
      </w:r>
    </w:p>
    <w:p>
      <w:pPr>
        <w:spacing w:after="200" w:line="276"/>
        <w:jc w:val="both"/>
      </w:pPr>
      <w:r>
        <w:rPr>
          <w:rFonts w:ascii="Arial" w:cs="Arial" w:eastAsia="Arial" w:hAnsi="Arial"/>
          <w:sz w:val="22"/>
          <w:szCs w:val="22"/>
        </w:rPr>
        <w:t xml:space="preserve">ATSF documentation avoids proprietary vendor terms:</w:t>
      </w:r>
    </w:p>
    <w:p>
      <w:pPr>
        <w:pStyle w:val="ListParagraph"/>
        <w:numPr>
          <w:ilvl w:val="0"/>
          <w:numId w:val="2"/>
        </w:numPr>
        <w:spacing w:after="120"/>
      </w:pPr>
      <w:r>
        <w:rPr>
          <w:rFonts w:ascii="Arial" w:cs="Arial" w:eastAsia="Arial" w:hAnsi="Arial"/>
          <w:sz w:val="22"/>
          <w:szCs w:val="22"/>
        </w:rPr>
        <w:t xml:space="preserve">Instead of </w:t>
      </w:r>
      <w:r>
        <w:rPr>
          <w:rFonts w:ascii="Arial" w:cs="Arial" w:eastAsia="Arial" w:hAnsi="Arial"/>
          <w:i/>
          <w:iCs/>
          <w:sz w:val="22"/>
          <w:szCs w:val="22"/>
        </w:rPr>
        <w:t xml:space="preserve">Neural Episodic Control</w:t>
      </w:r>
      <w:r>
        <w:rPr>
          <w:rFonts w:ascii="Arial" w:cs="Arial" w:eastAsia="Arial" w:hAnsi="Arial"/>
          <w:sz w:val="22"/>
          <w:szCs w:val="22"/>
        </w:rPr>
        <w:t xml:space="preserve">, use </w:t>
      </w:r>
      <w:r>
        <w:rPr>
          <w:rFonts w:ascii="Arial" w:cs="Arial" w:eastAsia="Arial" w:hAnsi="Arial"/>
          <w:b/>
          <w:bCs/>
          <w:sz w:val="22"/>
          <w:szCs w:val="22"/>
        </w:rPr>
        <w:t xml:space="preserve">Multidimensional Memory Retrieval</w:t>
      </w:r>
    </w:p>
    <w:p>
      <w:pPr>
        <w:pStyle w:val="ListParagraph"/>
        <w:numPr>
          <w:ilvl w:val="0"/>
          <w:numId w:val="2"/>
        </w:numPr>
        <w:spacing w:after="120"/>
      </w:pPr>
      <w:r>
        <w:rPr>
          <w:rFonts w:ascii="Arial" w:cs="Arial" w:eastAsia="Arial" w:hAnsi="Arial"/>
          <w:sz w:val="22"/>
          <w:szCs w:val="22"/>
        </w:rPr>
        <w:t xml:space="preserve">Instead of </w:t>
      </w:r>
      <w:r>
        <w:rPr>
          <w:rFonts w:ascii="Arial" w:cs="Arial" w:eastAsia="Arial" w:hAnsi="Arial"/>
          <w:i/>
          <w:iCs/>
          <w:sz w:val="22"/>
          <w:szCs w:val="22"/>
        </w:rPr>
        <w:t xml:space="preserve">Constitutional AI</w:t>
      </w:r>
      <w:r>
        <w:rPr>
          <w:rFonts w:ascii="Arial" w:cs="Arial" w:eastAsia="Arial" w:hAnsi="Arial"/>
          <w:sz w:val="22"/>
          <w:szCs w:val="22"/>
        </w:rPr>
        <w:t xml:space="preserve">, use </w:t>
      </w:r>
      <w:r>
        <w:rPr>
          <w:rFonts w:ascii="Arial" w:cs="Arial" w:eastAsia="Arial" w:hAnsi="Arial"/>
          <w:b/>
          <w:bCs/>
          <w:sz w:val="22"/>
          <w:szCs w:val="22"/>
        </w:rPr>
        <w:t xml:space="preserve">Rule-Based Governance</w:t>
      </w:r>
    </w:p>
    <w:p>
      <w:pPr>
        <w:pStyle w:val="ListParagraph"/>
        <w:numPr>
          <w:ilvl w:val="0"/>
          <w:numId w:val="2"/>
        </w:numPr>
        <w:spacing w:after="200"/>
      </w:pPr>
      <w:r>
        <w:rPr>
          <w:rFonts w:ascii="Arial" w:cs="Arial" w:eastAsia="Arial" w:hAnsi="Arial"/>
          <w:sz w:val="22"/>
          <w:szCs w:val="22"/>
        </w:rPr>
        <w:t xml:space="preserve">Instead of </w:t>
      </w:r>
      <w:r>
        <w:rPr>
          <w:rFonts w:ascii="Arial" w:cs="Arial" w:eastAsia="Arial" w:hAnsi="Arial"/>
          <w:i/>
          <w:iCs/>
          <w:sz w:val="22"/>
          <w:szCs w:val="22"/>
        </w:rPr>
        <w:t xml:space="preserve">GraphRAG</w:t>
      </w:r>
      <w:r>
        <w:rPr>
          <w:rFonts w:ascii="Arial" w:cs="Arial" w:eastAsia="Arial" w:hAnsi="Arial"/>
          <w:sz w:val="22"/>
          <w:szCs w:val="22"/>
        </w:rPr>
        <w:t xml:space="preserve">, use </w:t>
      </w:r>
      <w:r>
        <w:rPr>
          <w:rFonts w:ascii="Arial" w:cs="Arial" w:eastAsia="Arial" w:hAnsi="Arial"/>
          <w:b/>
          <w:bCs/>
          <w:sz w:val="22"/>
          <w:szCs w:val="22"/>
        </w:rPr>
        <w:t xml:space="preserve">Graph-based Retrieval</w:t>
      </w:r>
    </w:p>
    <w:p>
      <w:r>
        <w:br w:type="page"/>
      </w:r>
    </w:p>
    <w:p>
      <w:pPr>
        <w:pStyle w:val="Heading1"/>
        <w:spacing w:before="400" w:after="200"/>
      </w:pPr>
      <w:r>
        <w:rPr>
          <w:rFonts w:ascii="Arial" w:cs="Arial" w:eastAsia="Arial" w:hAnsi="Arial"/>
          <w:b/>
          <w:bCs/>
          <w:color w:val="0f172a"/>
          <w:sz w:val="36"/>
          <w:szCs w:val="36"/>
        </w:rPr>
        <w:t xml:space="preserve">7. Implementation Statistics</w:t>
      </w:r>
    </w:p>
    <w:p>
      <w:pPr>
        <w:pStyle w:val="Heading2"/>
        <w:spacing w:before="300" w:after="150"/>
      </w:pPr>
      <w:r>
        <w:rPr>
          <w:rFonts w:ascii="Arial" w:cs="Arial" w:eastAsia="Arial" w:hAnsi="Arial"/>
          <w:b/>
          <w:bCs/>
          <w:color w:val="475569"/>
          <w:sz w:val="28"/>
          <w:szCs w:val="28"/>
        </w:rPr>
        <w:t xml:space="preserve">7.1 Code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b/>
                <w:bCs/>
                <w:color w:val="FFFFFF"/>
                <w:sz w:val="20"/>
                <w:szCs w:val="20"/>
              </w:rPr>
              <w:t xml:space="preserve">Metric</w:t>
            </w:r>
          </w:p>
        </w:tc>
        <w:tc>
          <w:tcPr>
            <w:tcW w:type="dxa" w:w="4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b/>
                <w:bCs/>
                <w:color w:val="FFFFFF"/>
                <w:sz w:val="20"/>
                <w:szCs w:val="20"/>
              </w:rPr>
              <w:t xml:space="preserve">Value</w:t>
            </w:r>
          </w:p>
        </w:tc>
      </w:tr>
      <w:tr>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Total Lines of Code</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27,275</w:t>
            </w:r>
          </w:p>
        </w:tc>
      </w:tr>
      <w:tr>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Python Modules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sz w:val="20"/>
                <w:szCs w:val="20"/>
              </w:rPr>
              <w:t xml:space="preserve">28</w:t>
            </w:r>
          </w:p>
        </w:tc>
      </w:tr>
      <w:tr>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REST API Endpoints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45+</w:t>
            </w:r>
          </w:p>
        </w:tc>
      </w:tr>
      <w:tr>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sz w:val="20"/>
                <w:szCs w:val="20"/>
              </w:rPr>
              <w:t xml:space="preserve">Security Layers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b/>
                <w:bCs/>
                <w:sz w:val="20"/>
                <w:szCs w:val="20"/>
              </w:rPr>
              <w:t xml:space="preserve">46</w:t>
            </w:r>
          </w:p>
        </w:tc>
      </w:tr>
      <w:tr>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Test Cases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455+</w:t>
            </w:r>
          </w:p>
        </w:tc>
      </w:tr>
    </w:tbl>
    <w:p>
      <w:pPr>
        <w:spacing w:after="300"/>
      </w:pPr>
    </w:p>
    <w:p>
      <w:pPr>
        <w:pStyle w:val="Heading2"/>
        <w:spacing w:before="300" w:after="150"/>
      </w:pPr>
      <w:r>
        <w:rPr>
          <w:rFonts w:ascii="Arial" w:cs="Arial" w:eastAsia="Arial" w:hAnsi="Arial"/>
          <w:b/>
          <w:bCs/>
          <w:color w:val="475569"/>
          <w:sz w:val="28"/>
          <w:szCs w:val="28"/>
        </w:rPr>
        <w:t xml:space="preserve">7.2 Module Breakdown</w:t>
      </w:r>
    </w:p>
    <w:p>
      <w:pPr>
        <w:spacing w:after="200" w:line="276"/>
        <w:jc w:val="both"/>
      </w:pPr>
      <w:r>
        <w:rPr>
          <w:rFonts w:ascii="Arial" w:cs="Arial" w:eastAsia="Arial" w:hAnsi="Arial"/>
          <w:sz w:val="22"/>
          <w:szCs w:val="22"/>
        </w:rPr>
        <w:t xml:space="preserve">Key modules and their responsibilities:</w:t>
      </w:r>
    </w:p>
    <w:p>
      <w:pPr>
        <w:pStyle w:val="ListParagraph"/>
        <w:numPr>
          <w:ilvl w:val="0"/>
          <w:numId w:val="2"/>
        </w:numPr>
        <w:spacing w:after="120"/>
      </w:pPr>
      <w:r>
        <w:rPr>
          <w:rFonts w:ascii="Courier New" w:cs="Courier New" w:eastAsia="Courier New" w:hAnsi="Courier New"/>
          <w:sz w:val="20"/>
          <w:szCs w:val="20"/>
        </w:rPr>
        <w:t xml:space="preserve">atsf_v33_fixes.py</w:t>
      </w:r>
      <w:r>
        <w:rPr>
          <w:rFonts w:ascii="Arial" w:cs="Arial" w:eastAsia="Arial" w:hAnsi="Arial"/>
          <w:sz w:val="22"/>
          <w:szCs w:val="22"/>
        </w:rPr>
        <w:t xml:space="preserve"> — Core trust scoring system (1,200+ lines)</w:t>
      </w:r>
    </w:p>
    <w:p>
      <w:pPr>
        <w:pStyle w:val="ListParagraph"/>
        <w:numPr>
          <w:ilvl w:val="0"/>
          <w:numId w:val="2"/>
        </w:numPr>
        <w:spacing w:after="120"/>
      </w:pPr>
      <w:r>
        <w:rPr>
          <w:rFonts w:ascii="Courier New" w:cs="Courier New" w:eastAsia="Courier New" w:hAnsi="Courier New"/>
          <w:sz w:val="20"/>
          <w:szCs w:val="20"/>
        </w:rPr>
        <w:t xml:space="preserve">atsf_api.py</w:t>
      </w:r>
      <w:r>
        <w:rPr>
          <w:rFonts w:ascii="Arial" w:cs="Arial" w:eastAsia="Arial" w:hAnsi="Arial"/>
          <w:sz w:val="22"/>
          <w:szCs w:val="22"/>
        </w:rPr>
        <w:t xml:space="preserve"> — FastAPI REST endpoints (1,000+ lines)</w:t>
      </w:r>
    </w:p>
    <w:p>
      <w:pPr>
        <w:pStyle w:val="ListParagraph"/>
        <w:numPr>
          <w:ilvl w:val="0"/>
          <w:numId w:val="2"/>
        </w:numPr>
        <w:spacing w:after="120"/>
      </w:pPr>
      <w:r>
        <w:rPr>
          <w:rFonts w:ascii="Courier New" w:cs="Courier New" w:eastAsia="Courier New" w:hAnsi="Courier New"/>
          <w:sz w:val="20"/>
          <w:szCs w:val="20"/>
        </w:rPr>
        <w:t xml:space="preserve">ai_trism_integration.py</w:t>
      </w:r>
      <w:r>
        <w:rPr>
          <w:rFonts w:ascii="Arial" w:cs="Arial" w:eastAsia="Arial" w:hAnsi="Arial"/>
          <w:sz w:val="22"/>
          <w:szCs w:val="22"/>
        </w:rPr>
        <w:t xml:space="preserve"> — Gartner TRiSM implementation (800+ lines)</w:t>
      </w:r>
    </w:p>
    <w:p>
      <w:pPr>
        <w:pStyle w:val="ListParagraph"/>
        <w:numPr>
          <w:ilvl w:val="0"/>
          <w:numId w:val="2"/>
        </w:numPr>
        <w:spacing w:after="120"/>
      </w:pPr>
      <w:r>
        <w:rPr>
          <w:rFonts w:ascii="Courier New" w:cs="Courier New" w:eastAsia="Courier New" w:hAnsi="Courier New"/>
          <w:sz w:val="20"/>
          <w:szCs w:val="20"/>
        </w:rPr>
        <w:t xml:space="preserve">data_cube.py</w:t>
      </w:r>
      <w:r>
        <w:rPr>
          <w:rFonts w:ascii="Arial" w:cs="Arial" w:eastAsia="Arial" w:hAnsi="Arial"/>
          <w:sz w:val="22"/>
          <w:szCs w:val="22"/>
        </w:rPr>
        <w:t xml:space="preserve"> — OLAP analytics engine (1,265 lines)</w:t>
      </w:r>
    </w:p>
    <w:p>
      <w:pPr>
        <w:pStyle w:val="ListParagraph"/>
        <w:numPr>
          <w:ilvl w:val="0"/>
          <w:numId w:val="2"/>
        </w:numPr>
        <w:spacing w:after="120"/>
      </w:pPr>
      <w:r>
        <w:rPr>
          <w:rFonts w:ascii="Courier New" w:cs="Courier New" w:eastAsia="Courier New" w:hAnsi="Courier New"/>
          <w:sz w:val="20"/>
          <w:szCs w:val="20"/>
        </w:rPr>
        <w:t xml:space="preserve">cognitive_cube.py</w:t>
      </w:r>
      <w:r>
        <w:rPr>
          <w:rFonts w:ascii="Arial" w:cs="Arial" w:eastAsia="Arial" w:hAnsi="Arial"/>
          <w:sz w:val="22"/>
          <w:szCs w:val="22"/>
        </w:rPr>
        <w:t xml:space="preserve"> — TKG, ART, Granger, Constitutional (1,195 lines)</w:t>
      </w:r>
    </w:p>
    <w:p>
      <w:pPr>
        <w:pStyle w:val="ListParagraph"/>
        <w:numPr>
          <w:ilvl w:val="0"/>
          <w:numId w:val="2"/>
        </w:numPr>
        <w:spacing w:after="120"/>
      </w:pPr>
      <w:r>
        <w:rPr>
          <w:rFonts w:ascii="Courier New" w:cs="Courier New" w:eastAsia="Courier New" w:hAnsi="Courier New"/>
          <w:sz w:val="20"/>
          <w:szCs w:val="20"/>
        </w:rPr>
        <w:t xml:space="preserve">creator_accountability.py</w:t>
      </w:r>
      <w:r>
        <w:rPr>
          <w:rFonts w:ascii="Arial" w:cs="Arial" w:eastAsia="Arial" w:hAnsi="Arial"/>
          <w:sz w:val="22"/>
          <w:szCs w:val="22"/>
        </w:rPr>
        <w:t xml:space="preserve"> — Staking and reputation (700+ lines)</w:t>
      </w:r>
    </w:p>
    <w:p>
      <w:pPr>
        <w:pStyle w:val="ListParagraph"/>
        <w:numPr>
          <w:ilvl w:val="0"/>
          <w:numId w:val="2"/>
        </w:numPr>
        <w:spacing w:after="200"/>
      </w:pPr>
      <w:r>
        <w:rPr>
          <w:rFonts w:ascii="Courier New" w:cs="Courier New" w:eastAsia="Courier New" w:hAnsi="Courier New"/>
          <w:sz w:val="20"/>
          <w:szCs w:val="20"/>
        </w:rPr>
        <w:t xml:space="preserve">stpa_hro_integration.py</w:t>
      </w:r>
      <w:r>
        <w:rPr>
          <w:rFonts w:ascii="Arial" w:cs="Arial" w:eastAsia="Arial" w:hAnsi="Arial"/>
          <w:sz w:val="22"/>
          <w:szCs w:val="22"/>
        </w:rPr>
        <w:t xml:space="preserve"> — Safety analysis (600+ lines)</w:t>
      </w:r>
    </w:p>
    <w:p>
      <w:r>
        <w:br w:type="page"/>
      </w:r>
    </w:p>
    <w:p>
      <w:pPr>
        <w:pStyle w:val="Heading1"/>
        <w:spacing w:before="400" w:after="200"/>
      </w:pPr>
      <w:r>
        <w:rPr>
          <w:rFonts w:ascii="Arial" w:cs="Arial" w:eastAsia="Arial" w:hAnsi="Arial"/>
          <w:b/>
          <w:bCs/>
          <w:color w:val="0f172a"/>
          <w:sz w:val="36"/>
          <w:szCs w:val="36"/>
        </w:rPr>
        <w:t xml:space="preserve">8. Conclusion</w:t>
      </w:r>
    </w:p>
    <w:p>
      <w:pPr>
        <w:spacing w:after="200" w:line="276"/>
        <w:jc w:val="both"/>
      </w:pPr>
      <w:r>
        <w:rPr>
          <w:rFonts w:ascii="Arial" w:cs="Arial" w:eastAsia="Arial" w:hAnsi="Arial"/>
          <w:sz w:val="22"/>
          <w:szCs w:val="22"/>
        </w:rPr>
        <w:t xml:space="preserve">The Agentic Trust Scoring Framework v3.4 represents a mature, industrial approach to AI agent cognition and governance. By synthesizing multidimensional data structures with semantic intelligence, ATSF provides agents with:</w:t>
      </w:r>
    </w:p>
    <w:p>
      <w:pPr>
        <w:pStyle w:val="ListParagraph"/>
        <w:numPr>
          <w:ilvl w:val="0"/>
          <w:numId w:val="2"/>
        </w:numPr>
        <w:spacing w:after="120"/>
      </w:pPr>
      <w:r>
        <w:rPr>
          <w:rFonts w:ascii="Arial" w:cs="Arial" w:eastAsia="Arial" w:hAnsi="Arial"/>
          <w:b/>
          <w:bCs/>
          <w:sz w:val="22"/>
          <w:szCs w:val="22"/>
        </w:rPr>
        <w:t xml:space="preserve">Cognitive Continuity</w:t>
      </w:r>
      <w:r>
        <w:rPr>
          <w:rFonts w:ascii="Arial" w:cs="Arial" w:eastAsia="Arial" w:hAnsi="Arial"/>
          <w:sz w:val="22"/>
          <w:szCs w:val="22"/>
        </w:rPr>
        <w:t xml:space="preserve"> — Persistent memory across sessions with temporal awareness</w:t>
      </w:r>
    </w:p>
    <w:p>
      <w:pPr>
        <w:pStyle w:val="ListParagraph"/>
        <w:numPr>
          <w:ilvl w:val="0"/>
          <w:numId w:val="2"/>
        </w:numPr>
        <w:spacing w:after="120"/>
      </w:pPr>
      <w:r>
        <w:rPr>
          <w:rFonts w:ascii="Arial" w:cs="Arial" w:eastAsia="Arial" w:hAnsi="Arial"/>
          <w:b/>
          <w:bCs/>
          <w:sz w:val="22"/>
          <w:szCs w:val="22"/>
        </w:rPr>
        <w:t xml:space="preserve">Causal Understanding</w:t>
      </w:r>
      <w:r>
        <w:rPr>
          <w:rFonts w:ascii="Arial" w:cs="Arial" w:eastAsia="Arial" w:hAnsi="Arial"/>
          <w:sz w:val="22"/>
          <w:szCs w:val="22"/>
        </w:rPr>
        <w:t xml:space="preserve"> — Discovery of cause-effect relationships through TKG and Granger analysis</w:t>
      </w:r>
    </w:p>
    <w:p>
      <w:pPr>
        <w:pStyle w:val="ListParagraph"/>
        <w:numPr>
          <w:ilvl w:val="0"/>
          <w:numId w:val="2"/>
        </w:numPr>
        <w:spacing w:after="120"/>
      </w:pPr>
      <w:r>
        <w:rPr>
          <w:rFonts w:ascii="Arial" w:cs="Arial" w:eastAsia="Arial" w:hAnsi="Arial"/>
          <w:b/>
          <w:bCs/>
          <w:sz w:val="22"/>
          <w:szCs w:val="22"/>
        </w:rPr>
        <w:t xml:space="preserve">Automatic Categorization</w:t>
      </w:r>
      <w:r>
        <w:rPr>
          <w:rFonts w:ascii="Arial" w:cs="Arial" w:eastAsia="Arial" w:hAnsi="Arial"/>
          <w:sz w:val="22"/>
          <w:szCs w:val="22"/>
        </w:rPr>
        <w:t xml:space="preserve"> — Effect grouping without supervision via ART clustering</w:t>
      </w:r>
    </w:p>
    <w:p>
      <w:pPr>
        <w:pStyle w:val="ListParagraph"/>
        <w:numPr>
          <w:ilvl w:val="0"/>
          <w:numId w:val="2"/>
        </w:numPr>
        <w:spacing w:after="120"/>
      </w:pPr>
      <w:r>
        <w:rPr>
          <w:rFonts w:ascii="Arial" w:cs="Arial" w:eastAsia="Arial" w:hAnsi="Arial"/>
          <w:b/>
          <w:bCs/>
          <w:sz w:val="22"/>
          <w:szCs w:val="22"/>
        </w:rPr>
        <w:t xml:space="preserve">Constitutional Governance</w:t>
      </w:r>
      <w:r>
        <w:rPr>
          <w:rFonts w:ascii="Arial" w:cs="Arial" w:eastAsia="Arial" w:hAnsi="Arial"/>
          <w:sz w:val="22"/>
          <w:szCs w:val="22"/>
        </w:rPr>
        <w:t xml:space="preserve"> — Basis reminders enforced through architecture, not prompts</w:t>
      </w:r>
    </w:p>
    <w:p>
      <w:pPr>
        <w:pStyle w:val="ListParagraph"/>
        <w:numPr>
          <w:ilvl w:val="0"/>
          <w:numId w:val="2"/>
        </w:numPr>
        <w:spacing w:after="200"/>
      </w:pPr>
      <w:r>
        <w:rPr>
          <w:rFonts w:ascii="Arial" w:cs="Arial" w:eastAsia="Arial" w:hAnsi="Arial"/>
          <w:b/>
          <w:bCs/>
          <w:sz w:val="22"/>
          <w:szCs w:val="22"/>
        </w:rPr>
        <w:t xml:space="preserve">Production Readiness</w:t>
      </w:r>
      <w:r>
        <w:rPr>
          <w:rFonts w:ascii="Arial" w:cs="Arial" w:eastAsia="Arial" w:hAnsi="Arial"/>
          <w:sz w:val="22"/>
          <w:szCs w:val="22"/>
        </w:rPr>
        <w:t xml:space="preserve"> — 46 security layers, REST API, Docker deployment, CI/CD integration</w:t>
      </w:r>
    </w:p>
    <w:p>
      <w:pPr>
        <w:spacing w:after="200" w:line="276"/>
        <w:jc w:val="both"/>
      </w:pPr>
      <w:r>
        <w:rPr>
          <w:rFonts w:ascii="Arial" w:cs="Arial" w:eastAsia="Arial" w:hAnsi="Arial"/>
          <w:sz w:val="22"/>
          <w:szCs w:val="22"/>
        </w:rPr>
        <w:t xml:space="preserve">The framework is built on the bedrock of computer science prior art—standard SQL, graph theory, statistical tests, and classical neural networks—rather than proprietary black-box solutions. This ensures both legal safety and technical transparency.</w:t>
      </w:r>
    </w:p>
    <w:p>
      <w:pPr>
        <w:spacing w:after="200" w:line="276"/>
        <w:jc w:val="both"/>
      </w:pPr>
      <w:r>
        <w:rPr>
          <w:rFonts w:ascii="Arial" w:cs="Arial" w:eastAsia="Arial" w:hAnsi="Arial"/>
          <w:sz w:val="22"/>
          <w:szCs w:val="22"/>
        </w:rPr>
        <w:t xml:space="preserve">ATSF enables the deployment of autonomous AI agents in high-stakes environments where historical fidelity, regulatory compliance, and behavioral governance are paramount. The Constitution is no longer a suggestion—it is architecture.</w:t>
      </w:r>
    </w:p>
    <w:p>
      <w:pPr>
        <w:spacing w:after="400"/>
      </w:pPr>
    </w:p>
    <w:p>
      <w:pPr>
        <w:jc w:val="center"/>
      </w:pPr>
      <w:r>
        <w:rPr>
          <w:color w:val="475569"/>
          <w:sz w:val="24"/>
          <w:szCs w:val="24"/>
        </w:rPr>
        <w:t xml:space="preserve">━━━━━━━━━━━━━━━━━━━━━━━━━━━━━━━━━</w:t>
      </w:r>
    </w:p>
    <w:p>
      <w:pPr>
        <w:spacing w:before="200"/>
        <w:jc w:val="center"/>
      </w:pPr>
      <w:r>
        <w:rPr>
          <w:rFonts w:ascii="Arial" w:cs="Arial" w:eastAsia="Arial" w:hAnsi="Arial"/>
          <w:b/>
          <w:bCs/>
          <w:sz w:val="22"/>
          <w:szCs w:val="22"/>
        </w:rPr>
        <w:t xml:space="preserve">AgentAnchor • Vorion Project</w:t>
      </w:r>
    </w:p>
    <w:p>
      <w:pPr>
        <w:jc w:val="center"/>
      </w:pPr>
      <w:r>
        <w:rPr>
          <w:rFonts w:ascii="Arial" w:cs="Arial" w:eastAsia="Arial" w:hAnsi="Arial"/>
          <w:color w:val="475569"/>
          <w:sz w:val="20"/>
          <w:szCs w:val="20"/>
        </w:rPr>
        <w:t xml:space="preserve">ATSF v3.4 •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75569"/>
        <w:sz w:val="18"/>
        <w:szCs w:val="18"/>
      </w:rPr>
      <w:t xml:space="preserve">ATSF v3.4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475569"/>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2026-01-09T03:02:57.865Z</dcterms:created>
  <dcterms:modified xsi:type="dcterms:W3CDTF">2026-01-09T03:02:57.866Z</dcterms:modified>
</cp:coreProperties>
</file>

<file path=docProps/custom.xml><?xml version="1.0" encoding="utf-8"?>
<Properties xmlns="http://schemas.openxmlformats.org/officeDocument/2006/custom-properties" xmlns:vt="http://schemas.openxmlformats.org/officeDocument/2006/docPropsVTypes"/>
</file>