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a365d"/>
          <w:sz w:val="56"/>
          <w:szCs w:val="56"/>
        </w:rPr>
        <w:t xml:space="preserve">AI Agent Trust Scoring Framework</w:t>
      </w:r>
    </w:p>
    <w:p>
      <w:pPr>
        <w:spacing w:after="400"/>
        <w:jc w:val="center"/>
      </w:pPr>
      <w:r>
        <w:rPr>
          <w:rFonts w:ascii="Arial" w:cs="Arial" w:eastAsia="Arial" w:hAnsi="Arial"/>
          <w:color w:val="2c5282"/>
          <w:sz w:val="40"/>
          <w:szCs w:val="40"/>
        </w:rPr>
        <w:t xml:space="preserve">(ATSF)</w:t>
      </w:r>
    </w:p>
    <w:p>
      <w:pPr>
        <w:spacing w:after="100"/>
        <w:jc w:val="center"/>
      </w:pPr>
      <w:r>
        <w:rPr>
          <w:rFonts w:ascii="Arial" w:cs="Arial" w:eastAsia="Arial" w:hAnsi="Arial"/>
          <w:color w:val="4a5568"/>
          <w:sz w:val="28"/>
          <w:szCs w:val="28"/>
        </w:rPr>
        <w:t xml:space="preserve">Formal Mathematical Specification</w:t>
      </w:r>
    </w:p>
    <w:p>
      <w:pPr>
        <w:spacing w:after="600"/>
        <w:jc w:val="center"/>
      </w:pPr>
      <w:r>
        <w:rPr>
          <w:rFonts w:ascii="Arial" w:cs="Arial" w:eastAsia="Arial" w:hAnsi="Arial"/>
          <w:color w:val="4a5568"/>
          <w:sz w:val="28"/>
          <w:szCs w:val="28"/>
        </w:rPr>
        <w:t xml:space="preserve">&amp; Reference Implementation</w:t>
      </w:r>
    </w:p>
    <w:p>
      <w:pPr>
        <w:spacing w:after="100"/>
        <w:jc w:val="center"/>
      </w:pPr>
      <w:r>
        <w:rPr>
          <w:rFonts w:ascii="Arial" w:cs="Arial" w:eastAsia="Arial" w:hAnsi="Arial"/>
          <w:i/>
          <w:iCs/>
          <w:sz w:val="24"/>
          <w:szCs w:val="24"/>
        </w:rPr>
        <w:t xml:space="preserve">White Paper</w:t>
      </w:r>
    </w:p>
    <w:p>
      <w:pPr>
        <w:spacing w:after="600"/>
        <w:jc w:val="center"/>
      </w:pPr>
      <w:r>
        <w:rPr>
          <w:rFonts w:ascii="Arial" w:cs="Arial" w:eastAsia="Arial" w:hAnsi="Arial"/>
          <w:sz w:val="22"/>
          <w:szCs w:val="22"/>
        </w:rPr>
        <w:t xml:space="preserve">Version 1.0.0</w:t>
      </w:r>
    </w:p>
    <w:p>
      <w:pPr>
        <w:spacing w:after="100"/>
        <w:jc w:val="center"/>
      </w:pPr>
      <w:r>
        <w:rPr>
          <w:rFonts w:ascii="Arial" w:cs="Arial" w:eastAsia="Arial" w:hAnsi="Arial"/>
          <w:b/>
          <w:bCs/>
          <w:sz w:val="26"/>
          <w:szCs w:val="26"/>
        </w:rPr>
        <w:t xml:space="preserve">MIT Mathematicians</w:t>
      </w:r>
    </w:p>
    <w:p>
      <w:pPr>
        <w:jc w:val="center"/>
      </w:pPr>
      <w:r>
        <w:rPr>
          <w:rFonts w:ascii="Arial" w:cs="Arial" w:eastAsia="Arial" w:hAnsi="Arial"/>
          <w:sz w:val="22"/>
          <w:szCs w:val="22"/>
        </w:rPr>
        <w:t xml:space="preserve">January 2026</w:t>
      </w:r>
    </w:p>
    <w:p>
      <w:r>
        <w:br w:type="page"/>
      </w:r>
    </w:p>
    <w:p>
      <w:pPr>
        <w:pStyle w:val="Heading1"/>
        <w:spacing w:before="400" w:after="200"/>
      </w:pPr>
      <w:r>
        <w:rPr>
          <w:rFonts w:ascii="Arial" w:cs="Arial" w:eastAsia="Arial" w:hAnsi="Arial"/>
          <w:b/>
          <w:bCs/>
          <w:sz w:val="32"/>
          <w:szCs w:val="32"/>
        </w:rPr>
        <w:t xml:space="preserve">Abstract</w:t>
      </w:r>
    </w:p>
    <w:p>
      <w:pPr>
        <w:spacing w:after="200" w:line="276"/>
      </w:pPr>
      <w:r>
        <w:rPr>
          <w:rFonts w:ascii="Arial" w:cs="Arial" w:eastAsia="Arial" w:hAnsi="Arial"/>
          <w:sz w:val="22"/>
          <w:szCs w:val="22"/>
        </w:rPr>
        <w:t xml:space="preserve">This white paper presents the AI Agent Trust Scoring Framework (ATSF), a rigorous mathematical system for quantifying AI agent trustworthiness and aligning trust levels with task risk assessments. As AI agents become increasingly autonomous and integrated into critical systems, the need for principled trust evaluation becomes paramount.</w:t>
      </w:r>
    </w:p>
    <w:p>
      <w:pPr>
        <w:spacing w:after="200" w:line="276"/>
      </w:pPr>
      <w:r>
        <w:rPr>
          <w:rFonts w:ascii="Arial" w:cs="Arial" w:eastAsia="Arial" w:hAnsi="Arial"/>
          <w:sz w:val="22"/>
          <w:szCs w:val="22"/>
        </w:rPr>
        <w:t xml:space="preserve">ATSF introduces a composite trust score T ∈ [0, 1000] calculated from seven weighted dimensions: Provenance, Capability Bounds, Behavioral Consistency, Security Posture, Observability, Track Record, and Governance. The framework maps scores to six trust tiers (T0-T5) and enforces alignment with a five-level risk classification (R1-R5) through configurable policy matrices.</w:t>
      </w:r>
    </w:p>
    <w:p>
      <w:pPr>
        <w:spacing w:after="200" w:line="276"/>
      </w:pPr>
      <w:r>
        <w:rPr>
          <w:rFonts w:ascii="Arial" w:cs="Arial" w:eastAsia="Arial" w:hAnsi="Arial"/>
          <w:sz w:val="22"/>
          <w:szCs w:val="22"/>
        </w:rPr>
        <w:t xml:space="preserve">We provide complete mathematical foundations, scoring rubrics, alignment semantics, and a Monte Carlo simulation framework for hypothesis testing. Validation experiments demonstrate the conservative policy achieves perfect precision (zero false positives) with 88.8% accuracy, confirming the framework's safety properties.</w:t>
      </w:r>
    </w:p>
    <w:p>
      <w:r>
        <w:br w:type="page"/>
      </w:r>
    </w:p>
    <w:p>
      <w:pPr>
        <w:pStyle w:val="Heading1"/>
        <w:spacing w:before="400" w:after="200"/>
      </w:pPr>
      <w:r>
        <w:rPr>
          <w:rFonts w:ascii="Arial" w:cs="Arial" w:eastAsia="Arial" w:hAnsi="Arial"/>
          <w:b/>
          <w:bCs/>
          <w:sz w:val="32"/>
          <w:szCs w:val="32"/>
        </w:rPr>
        <w:t xml:space="preserve">1. Introduction</w:t>
      </w:r>
    </w:p>
    <w:p>
      <w:pPr>
        <w:pStyle w:val="Heading2"/>
        <w:spacing w:before="300" w:after="150"/>
      </w:pPr>
      <w:r>
        <w:rPr>
          <w:rFonts w:ascii="Arial" w:cs="Arial" w:eastAsia="Arial" w:hAnsi="Arial"/>
          <w:b/>
          <w:bCs/>
          <w:sz w:val="26"/>
          <w:szCs w:val="26"/>
        </w:rPr>
        <w:t xml:space="preserve">1.1 Motivation</w:t>
      </w:r>
    </w:p>
    <w:p>
      <w:pPr>
        <w:spacing w:after="200" w:line="276"/>
      </w:pPr>
      <w:r>
        <w:rPr>
          <w:rFonts w:ascii="Arial" w:cs="Arial" w:eastAsia="Arial" w:hAnsi="Arial"/>
          <w:sz w:val="22"/>
          <w:szCs w:val="22"/>
        </w:rPr>
        <w:t xml:space="preserve">The proliferation of AI agents capable of autonomous action presents a fundamental challenge: how do we determine which agents should be permitted to perform which tasks? Traditional access control models based on identity alone are insufficient when agents exhibit varying degrees of reliability, security, and alignment.</w:t>
      </w:r>
    </w:p>
    <w:p>
      <w:pPr>
        <w:spacing w:after="200" w:line="276"/>
      </w:pPr>
      <w:r>
        <w:rPr>
          <w:rFonts w:ascii="Arial" w:cs="Arial" w:eastAsia="Arial" w:hAnsi="Arial"/>
          <w:sz w:val="22"/>
          <w:szCs w:val="22"/>
        </w:rPr>
        <w:t xml:space="preserve">ATSF addresses this gap by providing a quantitative framework that evaluates agents across multiple trust dimensions and enforces risk-appropriate access controls based on demonstrated trustworthiness rather than claimed capabilities.</w:t>
      </w:r>
    </w:p>
    <w:p>
      <w:pPr>
        <w:pStyle w:val="Heading2"/>
        <w:spacing w:before="300" w:after="150"/>
      </w:pPr>
      <w:r>
        <w:rPr>
          <w:rFonts w:ascii="Arial" w:cs="Arial" w:eastAsia="Arial" w:hAnsi="Arial"/>
          <w:b/>
          <w:bCs/>
          <w:sz w:val="26"/>
          <w:szCs w:val="26"/>
        </w:rPr>
        <w:t xml:space="preserve">1.2 Design Principles</w:t>
      </w:r>
    </w:p>
    <w:p>
      <w:pPr>
        <w:spacing w:after="200" w:line="276"/>
      </w:pPr>
      <w:r>
        <w:rPr>
          <w:rFonts w:ascii="Arial" w:cs="Arial" w:eastAsia="Arial" w:hAnsi="Arial"/>
          <w:b/>
          <w:bCs/>
          <w:sz w:val="22"/>
          <w:szCs w:val="22"/>
        </w:rPr>
        <w:t xml:space="preserve">Transparency: </w:t>
      </w:r>
      <w:r>
        <w:rPr>
          <w:rFonts w:ascii="Arial" w:cs="Arial" w:eastAsia="Arial" w:hAnsi="Arial"/>
          <w:sz w:val="22"/>
          <w:szCs w:val="22"/>
        </w:rPr>
        <w:t xml:space="preserve">All scoring functions, weights, and policies are explicitly defined and auditable.</w:t>
      </w:r>
    </w:p>
    <w:p>
      <w:pPr>
        <w:spacing w:after="200" w:line="276"/>
      </w:pPr>
      <w:r>
        <w:rPr>
          <w:rFonts w:ascii="Arial" w:cs="Arial" w:eastAsia="Arial" w:hAnsi="Arial"/>
          <w:b/>
          <w:bCs/>
          <w:sz w:val="22"/>
          <w:szCs w:val="22"/>
        </w:rPr>
        <w:t xml:space="preserve">Configurability: </w:t>
      </w:r>
      <w:r>
        <w:rPr>
          <w:rFonts w:ascii="Arial" w:cs="Arial" w:eastAsia="Arial" w:hAnsi="Arial"/>
          <w:sz w:val="22"/>
          <w:szCs w:val="22"/>
        </w:rPr>
        <w:t xml:space="preserve">Organizations can tune weights and policies to their risk tolerance.</w:t>
      </w:r>
    </w:p>
    <w:p>
      <w:pPr>
        <w:spacing w:after="200" w:line="276"/>
      </w:pPr>
      <w:r>
        <w:rPr>
          <w:rFonts w:ascii="Arial" w:cs="Arial" w:eastAsia="Arial" w:hAnsi="Arial"/>
          <w:b/>
          <w:bCs/>
          <w:sz w:val="22"/>
          <w:szCs w:val="22"/>
        </w:rPr>
        <w:t xml:space="preserve">Safety-First: </w:t>
      </w:r>
      <w:r>
        <w:rPr>
          <w:rFonts w:ascii="Arial" w:cs="Arial" w:eastAsia="Arial" w:hAnsi="Arial"/>
          <w:sz w:val="22"/>
          <w:szCs w:val="22"/>
        </w:rPr>
        <w:t xml:space="preserve">The framework defaults to conservative policies that minimize false positives.</w:t>
      </w:r>
    </w:p>
    <w:p>
      <w:pPr>
        <w:spacing w:after="200" w:line="276"/>
      </w:pPr>
      <w:r>
        <w:rPr>
          <w:rFonts w:ascii="Arial" w:cs="Arial" w:eastAsia="Arial" w:hAnsi="Arial"/>
          <w:b/>
          <w:bCs/>
          <w:sz w:val="22"/>
          <w:szCs w:val="22"/>
        </w:rPr>
        <w:t xml:space="preserve">Formal Foundation: </w:t>
      </w:r>
      <w:r>
        <w:rPr>
          <w:rFonts w:ascii="Arial" w:cs="Arial" w:eastAsia="Arial" w:hAnsi="Arial"/>
          <w:sz w:val="22"/>
          <w:szCs w:val="22"/>
        </w:rPr>
        <w:t xml:space="preserve">Mathematical specifications enable formal verification of safety properties.</w:t>
      </w:r>
    </w:p>
    <w:p>
      <w:r>
        <w:br w:type="page"/>
      </w:r>
    </w:p>
    <w:p>
      <w:pPr>
        <w:pStyle w:val="Heading1"/>
        <w:spacing w:before="400" w:after="200"/>
      </w:pPr>
      <w:r>
        <w:rPr>
          <w:rFonts w:ascii="Arial" w:cs="Arial" w:eastAsia="Arial" w:hAnsi="Arial"/>
          <w:b/>
          <w:bCs/>
          <w:sz w:val="32"/>
          <w:szCs w:val="32"/>
        </w:rPr>
        <w:t xml:space="preserve">2. Trust Score Architecture</w:t>
      </w:r>
    </w:p>
    <w:p>
      <w:pPr>
        <w:pStyle w:val="Heading2"/>
        <w:spacing w:before="300" w:after="150"/>
      </w:pPr>
      <w:r>
        <w:rPr>
          <w:rFonts w:ascii="Arial" w:cs="Arial" w:eastAsia="Arial" w:hAnsi="Arial"/>
          <w:b/>
          <w:bCs/>
          <w:sz w:val="26"/>
          <w:szCs w:val="26"/>
        </w:rPr>
        <w:t xml:space="preserve">2.1 Foundational Definitions</w:t>
      </w:r>
    </w:p>
    <w:p>
      <w:pPr>
        <w:spacing w:after="200" w:line="276"/>
      </w:pPr>
      <w:r>
        <w:rPr>
          <w:rFonts w:ascii="Arial" w:cs="Arial" w:eastAsia="Arial" w:hAnsi="Arial"/>
          <w:sz w:val="22"/>
          <w:szCs w:val="22"/>
        </w:rPr>
        <w:t xml:space="preserve">The trust score space is defined as T = [0, 1000] ⊂ ℝ. Individual dimension scores occupy D = [0, 100] ⊂ ℝ.</w:t>
      </w:r>
    </w:p>
    <w:p>
      <w:pPr>
        <w:pStyle w:val="Heading3"/>
        <w:spacing w:before="200" w:after="100"/>
      </w:pPr>
      <w:r>
        <w:rPr>
          <w:rFonts w:ascii="Arial" w:cs="Arial" w:eastAsia="Arial" w:hAnsi="Arial"/>
          <w:b/>
          <w:bCs/>
          <w:sz w:val="22"/>
          <w:szCs w:val="22"/>
        </w:rPr>
        <w:t xml:space="preserve">Definition 2.1 (Trust Tier Set)</w:t>
      </w:r>
    </w:p>
    <w:p>
      <w:pPr>
        <w:spacing w:after="200" w:line="276"/>
      </w:pPr>
      <w:r>
        <w:rPr>
          <w:rFonts w:ascii="Arial" w:cs="Arial" w:eastAsia="Arial" w:hAnsi="Arial"/>
          <w:sz w:val="22"/>
          <w:szCs w:val="22"/>
        </w:rPr>
        <w:t xml:space="preserve">The set of trust tiers is an ordered set:</w:t>
      </w:r>
    </w:p>
    <w:p>
      <w:pPr>
        <w:spacing w:before="150" w:after="150"/>
        <w:jc w:val="center"/>
      </w:pPr>
      <w:r>
        <w:rPr>
          <w:rFonts w:ascii="Consolas" w:cs="Consolas" w:eastAsia="Consolas" w:hAnsi="Consolas"/>
          <w:i/>
          <w:iCs/>
          <w:sz w:val="22"/>
          <w:szCs w:val="22"/>
        </w:rPr>
        <w:t xml:space="preserve">T_tier = {T₀, T₁, T₂, T₃, T₄, T₅}</w:t>
      </w:r>
    </w:p>
    <w:p>
      <w:pPr>
        <w:spacing w:after="200" w:line="276"/>
      </w:pPr>
      <w:r>
        <w:rPr>
          <w:rFonts w:ascii="Arial" w:cs="Arial" w:eastAsia="Arial" w:hAnsi="Arial"/>
          <w:sz w:val="22"/>
          <w:szCs w:val="22"/>
        </w:rPr>
        <w:t xml:space="preserve">with ordering T₀ &lt; T₁ &lt; T₂ &lt; T₃ &lt; T₄ &lt; T₅.</w:t>
      </w:r>
    </w:p>
    <w:p>
      <w:pPr>
        <w:pStyle w:val="Heading3"/>
        <w:spacing w:before="200" w:after="100"/>
      </w:pPr>
      <w:r>
        <w:rPr>
          <w:rFonts w:ascii="Arial" w:cs="Arial" w:eastAsia="Arial" w:hAnsi="Arial"/>
          <w:b/>
          <w:bCs/>
          <w:sz w:val="22"/>
          <w:szCs w:val="22"/>
        </w:rPr>
        <w:t xml:space="preserve">Definition 2.2 (Risk Level Set)</w:t>
      </w:r>
    </w:p>
    <w:p>
      <w:pPr>
        <w:spacing w:after="200" w:line="276"/>
      </w:pPr>
      <w:r>
        <w:rPr>
          <w:rFonts w:ascii="Arial" w:cs="Arial" w:eastAsia="Arial" w:hAnsi="Arial"/>
          <w:sz w:val="22"/>
          <w:szCs w:val="22"/>
        </w:rPr>
        <w:t xml:space="preserve">The set of risk levels is an ordered set:</w:t>
      </w:r>
    </w:p>
    <w:p>
      <w:pPr>
        <w:spacing w:before="150" w:after="150"/>
        <w:jc w:val="center"/>
      </w:pPr>
      <w:r>
        <w:rPr>
          <w:rFonts w:ascii="Consolas" w:cs="Consolas" w:eastAsia="Consolas" w:hAnsi="Consolas"/>
          <w:i/>
          <w:iCs/>
          <w:sz w:val="22"/>
          <w:szCs w:val="22"/>
        </w:rPr>
        <w:t xml:space="preserve">R = {R₁, R₂, R₃, R₄, R₅}</w:t>
      </w:r>
    </w:p>
    <w:p>
      <w:pPr>
        <w:spacing w:after="200" w:line="276"/>
      </w:pPr>
      <w:r>
        <w:rPr>
          <w:rFonts w:ascii="Arial" w:cs="Arial" w:eastAsia="Arial" w:hAnsi="Arial"/>
          <w:sz w:val="22"/>
          <w:szCs w:val="22"/>
        </w:rPr>
        <w:t xml:space="preserve">with ordering R₁ &lt; R₂ &lt; R₃ &lt; R₄ &lt; R₅.</w:t>
      </w:r>
    </w:p>
    <w:p>
      <w:pPr>
        <w:pStyle w:val="Heading2"/>
        <w:spacing w:before="300" w:after="150"/>
      </w:pPr>
      <w:r>
        <w:rPr>
          <w:rFonts w:ascii="Arial" w:cs="Arial" w:eastAsia="Arial" w:hAnsi="Arial"/>
          <w:b/>
          <w:bCs/>
          <w:sz w:val="26"/>
          <w:szCs w:val="26"/>
        </w:rPr>
        <w:t xml:space="preserve">2.2 Trust Tier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5360"/>
      </w:tblGrid>
      <w:tr>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T₀</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Untrusted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0 - 99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Unknown or adversarial agents</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T₁</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Minimal</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100 - 299</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New or unverified agents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T₂</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300 - 499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Basic verification completed</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T₃</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500 - 699</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Established track record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T₄</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700 - 899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 reliability</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T₅</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Full</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900 - 1000</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Exceptional trust</w:t>
            </w:r>
          </w:p>
        </w:tc>
      </w:tr>
    </w:tbl>
    <w:p>
      <w:r>
        <w:br w:type="page"/>
      </w:r>
    </w:p>
    <w:p>
      <w:pPr>
        <w:pStyle w:val="Heading1"/>
        <w:spacing w:before="400" w:after="200"/>
      </w:pPr>
      <w:r>
        <w:rPr>
          <w:rFonts w:ascii="Arial" w:cs="Arial" w:eastAsia="Arial" w:hAnsi="Arial"/>
          <w:b/>
          <w:bCs/>
          <w:sz w:val="32"/>
          <w:szCs w:val="32"/>
        </w:rPr>
        <w:t xml:space="preserve">3. Dimension Scoring</w:t>
      </w:r>
    </w:p>
    <w:p>
      <w:pPr>
        <w:pStyle w:val="Heading2"/>
        <w:spacing w:before="300" w:after="150"/>
      </w:pPr>
      <w:r>
        <w:rPr>
          <w:rFonts w:ascii="Arial" w:cs="Arial" w:eastAsia="Arial" w:hAnsi="Arial"/>
          <w:b/>
          <w:bCs/>
          <w:sz w:val="26"/>
          <w:szCs w:val="26"/>
        </w:rPr>
        <w:t xml:space="preserve">3.1 Composite Score Formula</w:t>
      </w:r>
    </w:p>
    <w:p>
      <w:pPr>
        <w:spacing w:after="200" w:line="276"/>
      </w:pPr>
      <w:r>
        <w:rPr>
          <w:rFonts w:ascii="Arial" w:cs="Arial" w:eastAsia="Arial" w:hAnsi="Arial"/>
          <w:sz w:val="22"/>
          <w:szCs w:val="22"/>
        </w:rPr>
        <w:t xml:space="preserve">The composite trust score T(A) for an agent A is calculated as:</w:t>
      </w:r>
    </w:p>
    <w:p>
      <w:pPr>
        <w:spacing w:before="150" w:after="150"/>
        <w:jc w:val="center"/>
      </w:pPr>
      <w:r>
        <w:rPr>
          <w:rFonts w:ascii="Consolas" w:cs="Consolas" w:eastAsia="Consolas" w:hAnsi="Consolas"/>
          <w:i/>
          <w:iCs/>
          <w:sz w:val="22"/>
          <w:szCs w:val="22"/>
        </w:rPr>
        <w:t xml:space="preserve">T(A) = 10 × Σᵢ wᵢ × Dᵢ</w:t>
      </w:r>
    </w:p>
    <w:p>
      <w:pPr>
        <w:spacing w:after="200" w:line="276"/>
      </w:pPr>
      <w:r>
        <w:rPr>
          <w:rFonts w:ascii="Arial" w:cs="Arial" w:eastAsia="Arial" w:hAnsi="Arial"/>
          <w:sz w:val="22"/>
          <w:szCs w:val="22"/>
        </w:rPr>
        <w:t xml:space="preserve">where wᵢ are the dimension weights (Σwᵢ = 1) and Dᵢ are individual dimension scores ∈ [0, 100].</w:t>
      </w:r>
    </w:p>
    <w:p>
      <w:pPr>
        <w:pStyle w:val="Heading2"/>
        <w:spacing w:before="300" w:after="150"/>
      </w:pPr>
      <w:r>
        <w:rPr>
          <w:rFonts w:ascii="Arial" w:cs="Arial" w:eastAsia="Arial" w:hAnsi="Arial"/>
          <w:b/>
          <w:bCs/>
          <w:sz w:val="26"/>
          <w:szCs w:val="26"/>
        </w:rPr>
        <w:t xml:space="preserve">3.2 Dimension Weights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 (15%)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Identity and origin verification</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Capability Bounds</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0.18 (18%)</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Scope and accuracy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Behavioral Consistency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0.14 (14%)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stability</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Security Posture</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0.17 (17%)</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Attack resistance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0.12 (12%)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 capabilities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Track Record</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w:t>
            </w:r>
          </w:p>
        </w:tc>
        <w:tc>
          <w:tcPr>
            <w:tcW w:type="dxa" w:w="16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0.14 (14%)</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Historical performance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Governance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 (10%)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 and oversight</w:t>
            </w:r>
          </w:p>
        </w:tc>
      </w:tr>
    </w:tbl>
    <w:p>
      <w:pPr>
        <w:spacing w:after="200" w:line="276"/>
      </w:pPr>
      <w:r>
        <w:rPr>
          <w:rFonts w:ascii="Arial" w:cs="Arial" w:eastAsia="Arial" w:hAnsi="Arial"/>
          <w:sz w:val="22"/>
          <w:szCs w:val="22"/>
        </w:rPr>
        <w:t xml:space="preserve">Verification: 0.15 + 0.18 + 0.14 + 0.17 + 0.12 + 0.14 + 0.10 = 1.00 ✓</w:t>
      </w:r>
    </w:p>
    <w:p>
      <w:pPr>
        <w:pStyle w:val="Heading2"/>
        <w:spacing w:before="300" w:after="150"/>
      </w:pPr>
      <w:r>
        <w:rPr>
          <w:rFonts w:ascii="Arial" w:cs="Arial" w:eastAsia="Arial" w:hAnsi="Arial"/>
          <w:b/>
          <w:bCs/>
          <w:sz w:val="26"/>
          <w:szCs w:val="26"/>
        </w:rPr>
        <w:t xml:space="preserve">3.3 Provenance Dimension (P)</w:t>
      </w:r>
    </w:p>
    <w:p>
      <w:pPr>
        <w:spacing w:after="200" w:line="276"/>
      </w:pPr>
      <w:r>
        <w:rPr>
          <w:rFonts w:ascii="Arial" w:cs="Arial" w:eastAsia="Arial" w:hAnsi="Arial"/>
          <w:sz w:val="22"/>
          <w:szCs w:val="22"/>
        </w:rPr>
        <w:t xml:space="preserve">The Provenance dimension assesses the verifiability of an agent's identity, origin, and supply chain integrity.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Scoring Method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Identity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 {0, 8, 15, 20} by verification level</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Model Attestation</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 {0, 8, 15, 20} by cryptographic proof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Data Provenance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20v where v ∈ [0,1]</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Supply Chain Integrity</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 {0, 10, 20} by verification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 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20v where v ∈ [0,1]</w:t>
            </w:r>
          </w:p>
        </w:tc>
      </w:tr>
    </w:tbl>
    <w:p>
      <w:pPr>
        <w:pStyle w:val="Heading2"/>
        <w:spacing w:before="300" w:after="150"/>
      </w:pPr>
      <w:r>
        <w:rPr>
          <w:rFonts w:ascii="Arial" w:cs="Arial" w:eastAsia="Arial" w:hAnsi="Arial"/>
          <w:b/>
          <w:bCs/>
          <w:sz w:val="26"/>
          <w:szCs w:val="26"/>
        </w:rPr>
        <w:t xml:space="preserve">3.4 Capability Bounds Dimension (C)</w:t>
      </w:r>
    </w:p>
    <w:p>
      <w:pPr>
        <w:spacing w:after="200" w:line="276"/>
      </w:pPr>
      <w:r>
        <w:rPr>
          <w:rFonts w:ascii="Arial" w:cs="Arial" w:eastAsia="Arial" w:hAnsi="Arial"/>
          <w:sz w:val="22"/>
          <w:szCs w:val="22"/>
        </w:rPr>
        <w:t xml:space="preserve">The Capability Bounds dimension measures how well an agent's actual capabilities match its declared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Scoring Method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Scope Definition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 {0, 10, 18, 25} by formality</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Hallucination Rate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Inverse: max(0, 25 - 1.67r) where r is rate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Out-of-Scope Refusal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 {0, 10, 20, 25} by reliability</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Benchmark Accuracy</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Linear: 25v where v ∈ [0,1]</w:t>
            </w:r>
          </w:p>
        </w:tc>
      </w:tr>
    </w:tbl>
    <w:p>
      <w:pPr>
        <w:pStyle w:val="Heading2"/>
        <w:spacing w:before="300" w:after="150"/>
      </w:pPr>
      <w:r>
        <w:rPr>
          <w:rFonts w:ascii="Arial" w:cs="Arial" w:eastAsia="Arial" w:hAnsi="Arial"/>
          <w:b/>
          <w:bCs/>
          <w:sz w:val="26"/>
          <w:szCs w:val="26"/>
        </w:rPr>
        <w:t xml:space="preserve">3.5 Security Posture Dimension (S)</w:t>
      </w:r>
    </w:p>
    <w:p>
      <w:pPr>
        <w:spacing w:after="200" w:line="276"/>
      </w:pPr>
      <w:r>
        <w:rPr>
          <w:rFonts w:ascii="Arial" w:cs="Arial" w:eastAsia="Arial" w:hAnsi="Arial"/>
          <w:sz w:val="22"/>
          <w:szCs w:val="22"/>
        </w:rPr>
        <w:t xml:space="preserve">The Security Posture dimension evaluates resistance to attacks and isolation of execution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5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Scoring Method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Prompt Injection Resistance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25v where v ∈ [0,1]</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Jailbreak Resistance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5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Linear: 25v where v ∈ [0,1]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Isolation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 {0, 12, 20, 25} by level</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Execution Sandboxing</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5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 {0, 12, 20, 25} by strength</w:t>
            </w:r>
          </w:p>
        </w:tc>
      </w:tr>
    </w:tbl>
    <w:p>
      <w:r>
        <w:br w:type="page"/>
      </w:r>
    </w:p>
    <w:p>
      <w:pPr>
        <w:pStyle w:val="Heading1"/>
        <w:spacing w:before="400" w:after="200"/>
      </w:pPr>
      <w:r>
        <w:rPr>
          <w:rFonts w:ascii="Arial" w:cs="Arial" w:eastAsia="Arial" w:hAnsi="Arial"/>
          <w:b/>
          <w:bCs/>
          <w:sz w:val="32"/>
          <w:szCs w:val="32"/>
        </w:rPr>
        <w:t xml:space="preserve">4. Risk Classification</w:t>
      </w:r>
    </w:p>
    <w:p>
      <w:pPr>
        <w:pStyle w:val="Heading2"/>
        <w:spacing w:before="300" w:after="150"/>
      </w:pPr>
      <w:r>
        <w:rPr>
          <w:rFonts w:ascii="Arial" w:cs="Arial" w:eastAsia="Arial" w:hAnsi="Arial"/>
          <w:b/>
          <w:bCs/>
          <w:sz w:val="26"/>
          <w:szCs w:val="26"/>
        </w:rPr>
        <w:t xml:space="preserve">4.1 Risk Level Definitions</w:t>
      </w:r>
    </w:p>
    <w:p>
      <w:pPr>
        <w:spacing w:after="200" w:line="276"/>
      </w:pPr>
      <w:r>
        <w:rPr>
          <w:rFonts w:ascii="Arial" w:cs="Arial" w:eastAsia="Arial" w:hAnsi="Arial"/>
          <w:sz w:val="22"/>
          <w:szCs w:val="22"/>
        </w:rPr>
        <w:t xml:space="preserve">Tasks are classified into five risk levels based on impact severity, reversibility, and blast radius.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00"/>
        <w:gridCol w:w="2760"/>
      </w:tblGrid>
      <w:t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Reversibility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R₁</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Trivial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Informational only; no state changes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R₂</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Low</w:t>
            </w:r>
          </w:p>
        </w:tc>
        <w:tc>
          <w:tcPr>
            <w:tcW w:type="dxa" w:w="4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Limited scope; fully reversible</w:t>
            </w:r>
          </w:p>
        </w:tc>
        <w:tc>
          <w:tcPr>
            <w:tcW w:type="dxa" w:w="2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Minutes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R₃</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Broader scope; partially reversible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Hours</w:t>
            </w:r>
          </w:p>
        </w:tc>
      </w:tr>
      <w:tr>
        <w:tc>
          <w:tcPr>
            <w:tcW w:type="dxa" w:w="9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R₄</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High</w:t>
            </w:r>
          </w:p>
        </w:tc>
        <w:tc>
          <w:tcPr>
            <w:tcW w:type="dxa" w:w="4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Significant impact; difficult to reverse</w:t>
            </w:r>
          </w:p>
        </w:tc>
        <w:tc>
          <w:tcPr>
            <w:tcW w:type="dxa" w:w="2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Days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R₅</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Severe/catastrophic; irreversible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Permanent</w:t>
            </w:r>
          </w:p>
        </w:tc>
      </w:tr>
    </w:tbl>
    <w:p>
      <w:pPr>
        <w:pStyle w:val="Heading2"/>
        <w:spacing w:before="300" w:after="150"/>
      </w:pPr>
      <w:r>
        <w:rPr>
          <w:rFonts w:ascii="Arial" w:cs="Arial" w:eastAsia="Arial" w:hAnsi="Arial"/>
          <w:b/>
          <w:bCs/>
          <w:sz w:val="26"/>
          <w:szCs w:val="26"/>
        </w:rPr>
        <w:t xml:space="preserve">4.2 Risk Factor Taxonomy</w:t>
      </w:r>
    </w:p>
    <w:p>
      <w:pPr>
        <w:spacing w:after="200" w:line="276"/>
      </w:pPr>
      <w:r>
        <w:rPr>
          <w:rFonts w:ascii="Arial" w:cs="Arial" w:eastAsia="Arial" w:hAnsi="Arial"/>
          <w:sz w:val="22"/>
          <w:szCs w:val="22"/>
        </w:rPr>
        <w:t xml:space="preserve">Risk levels are computed from weighted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Blast Radius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Self → Local → Team → Org → External</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Financial Exposure</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0.20</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 → &lt;$100 → &lt;$10K → &lt;$1M → &gt;$1M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Sensitivity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 Internal → Confidential → Restricted → Regulated</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Reversibility</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0.25</w:t>
            </w:r>
          </w:p>
        </w:tc>
        <w:tc>
          <w:tcPr>
            <w:tcW w:type="dxa" w:w="6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Instant → Quick → Moderate → Difficult → Irreversible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 Oversight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 Optional → Available → Required → Multi-party</w:t>
            </w:r>
          </w:p>
        </w:tc>
      </w:tr>
    </w:tbl>
    <w:p>
      <w:pPr>
        <w:pStyle w:val="Heading2"/>
        <w:spacing w:before="300" w:after="150"/>
      </w:pPr>
      <w:r>
        <w:rPr>
          <w:rFonts w:ascii="Arial" w:cs="Arial" w:eastAsia="Arial" w:hAnsi="Arial"/>
          <w:b/>
          <w:bCs/>
          <w:sz w:val="26"/>
          <w:szCs w:val="26"/>
        </w:rPr>
        <w:t xml:space="preserve">4.3 Task Examples by Risk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7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Example Tasks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R₁ Trivial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Query answering, summarization, translation, code review</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R₂ Low</w:t>
            </w:r>
          </w:p>
        </w:tc>
        <w:tc>
          <w:tcPr>
            <w:tcW w:type="dxa" w:w="7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Draft creation, local file edits, calendar scheduling, read-only queries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R₃ Moderate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emails, API calls, pull requests, CRM updates</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R₄ High</w:t>
            </w:r>
          </w:p>
        </w:tc>
        <w:tc>
          <w:tcPr>
            <w:tcW w:type="dxa" w:w="7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Financial transactions, staging deployments, permission changes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R₅ Critical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 deployments, regulatory filings, data deletion</w:t>
            </w:r>
          </w:p>
        </w:tc>
      </w:tr>
    </w:tbl>
    <w:p>
      <w:r>
        <w:br w:type="page"/>
      </w:r>
    </w:p>
    <w:p>
      <w:pPr>
        <w:pStyle w:val="Heading1"/>
        <w:spacing w:before="400" w:after="200"/>
      </w:pPr>
      <w:r>
        <w:rPr>
          <w:rFonts w:ascii="Arial" w:cs="Arial" w:eastAsia="Arial" w:hAnsi="Arial"/>
          <w:b/>
          <w:bCs/>
          <w:sz w:val="32"/>
          <w:szCs w:val="32"/>
        </w:rPr>
        <w:t xml:space="preserve">5. Alignment Policy</w:t>
      </w:r>
    </w:p>
    <w:p>
      <w:pPr>
        <w:pStyle w:val="Heading2"/>
        <w:spacing w:before="300" w:after="150"/>
      </w:pPr>
      <w:r>
        <w:rPr>
          <w:rFonts w:ascii="Arial" w:cs="Arial" w:eastAsia="Arial" w:hAnsi="Arial"/>
          <w:b/>
          <w:bCs/>
          <w:sz w:val="26"/>
          <w:szCs w:val="26"/>
        </w:rPr>
        <w:t xml:space="preserve">5.1 Alignment Matrix</w:t>
      </w:r>
    </w:p>
    <w:p>
      <w:pPr>
        <w:spacing w:after="200" w:line="276"/>
      </w:pPr>
      <w:r>
        <w:rPr>
          <w:rFonts w:ascii="Arial" w:cs="Arial" w:eastAsia="Arial" w:hAnsi="Arial"/>
          <w:sz w:val="22"/>
          <w:szCs w:val="22"/>
        </w:rPr>
        <w:t xml:space="preserve">An alignment matrix M : T_tier → R specifies the maximum permitted risk level for each trust tier. The matrix must satisfy a monotonicity constraint:</w:t>
      </w:r>
    </w:p>
    <w:p>
      <w:pPr>
        <w:spacing w:before="150" w:after="150"/>
        <w:jc w:val="center"/>
      </w:pPr>
      <w:r>
        <w:rPr>
          <w:rFonts w:ascii="Consolas" w:cs="Consolas" w:eastAsia="Consolas" w:hAnsi="Consolas"/>
          <w:i/>
          <w:iCs/>
          <w:sz w:val="22"/>
          <w:szCs w:val="22"/>
        </w:rPr>
        <w:t xml:space="preserve">∀ Tᵢ, Tⱼ ∈ T_tier : Tᵢ &lt; Tⱼ ⟹ M(Tᵢ) ≤ M(Tⱼ)</w:t>
      </w:r>
    </w:p>
    <w:p>
      <w:pPr>
        <w:pStyle w:val="Heading2"/>
        <w:spacing w:before="300" w:after="150"/>
      </w:pPr>
      <w:r>
        <w:rPr>
          <w:rFonts w:ascii="Arial" w:cs="Arial" w:eastAsia="Arial" w:hAnsi="Arial"/>
          <w:b/>
          <w:bCs/>
          <w:sz w:val="26"/>
          <w:szCs w:val="26"/>
        </w:rPr>
        <w:t xml:space="preserve">5.2 Conservative Policy (Default)</w:t>
      </w:r>
    </w:p>
    <w:p>
      <w:pPr>
        <w:spacing w:after="200" w:line="276"/>
      </w:pPr>
      <w:r>
        <w:rPr>
          <w:rFonts w:ascii="Arial" w:cs="Arial" w:eastAsia="Arial" w:hAnsi="Arial"/>
          <w:sz w:val="22"/>
          <w:szCs w:val="22"/>
        </w:rPr>
        <w:t xml:space="preserve">The conservative policy enforces strict alignment between trust and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9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Trust Tier</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R₁</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R₂</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R₃</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R₄</w:t>
            </w:r>
          </w:p>
        </w:tc>
        <w:tc>
          <w:tcPr>
            <w:tcW w:type="dxa" w:w="1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R₅</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T₀ Untrusted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T₁ Minimal</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T₂ Low</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T₃ Moderate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T₄ High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T₅ Full</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t>
            </w:r>
          </w:p>
        </w:tc>
      </w:tr>
    </w:tbl>
    <w:p>
      <w:pPr>
        <w:spacing w:after="200" w:line="276"/>
      </w:pPr>
      <w:r>
        <w:rPr>
          <w:rFonts w:ascii="Arial" w:cs="Arial" w:eastAsia="Arial" w:hAnsi="Arial"/>
          <w:i/>
          <w:iCs/>
          <w:sz w:val="22"/>
          <w:szCs w:val="22"/>
        </w:rPr>
        <w:t xml:space="preserve">* R₅ at T₅ requires additional controls: multi-party approval, audit log, rollback plan</w:t>
      </w:r>
    </w:p>
    <w:p>
      <w:pPr>
        <w:pStyle w:val="Heading2"/>
        <w:spacing w:before="300" w:after="150"/>
      </w:pPr>
      <w:r>
        <w:rPr>
          <w:rFonts w:ascii="Arial" w:cs="Arial" w:eastAsia="Arial" w:hAnsi="Arial"/>
          <w:b/>
          <w:bCs/>
          <w:sz w:val="26"/>
          <w:szCs w:val="26"/>
        </w:rPr>
        <w:t xml:space="preserve">5.3 Permission Predicate</w:t>
      </w:r>
    </w:p>
    <w:p>
      <w:pPr>
        <w:spacing w:after="200" w:line="276"/>
      </w:pPr>
      <w:r>
        <w:rPr>
          <w:rFonts w:ascii="Arial" w:cs="Arial" w:eastAsia="Arial" w:hAnsi="Arial"/>
          <w:sz w:val="22"/>
          <w:szCs w:val="22"/>
        </w:rPr>
        <w:t xml:space="preserve">Given policy Π with alignment matrix M, agent A, and task with risk level r:</w:t>
      </w:r>
    </w:p>
    <w:p>
      <w:pPr>
        <w:spacing w:before="150" w:after="150"/>
        <w:jc w:val="center"/>
      </w:pPr>
      <w:r>
        <w:rPr>
          <w:rFonts w:ascii="Consolas" w:cs="Consolas" w:eastAsia="Consolas" w:hAnsi="Consolas"/>
          <w:i/>
          <w:iCs/>
          <w:sz w:val="22"/>
          <w:szCs w:val="22"/>
        </w:rPr>
        <w:t xml:space="preserve">permitted(Π, A, r) ≡ r ≤ M(τ(T(A)))</w:t>
      </w:r>
    </w:p>
    <w:p>
      <w:pPr>
        <w:spacing w:after="200" w:line="276"/>
      </w:pPr>
      <w:r>
        <w:rPr>
          <w:rFonts w:ascii="Arial" w:cs="Arial" w:eastAsia="Arial" w:hAnsi="Arial"/>
          <w:sz w:val="22"/>
          <w:szCs w:val="22"/>
        </w:rPr>
        <w:t xml:space="preserve">where τ is the tier mapping function and T is the composite trust score.</w:t>
      </w:r>
    </w:p>
    <w:p>
      <w:pPr>
        <w:pStyle w:val="Heading2"/>
        <w:spacing w:before="300" w:after="150"/>
      </w:pPr>
      <w:r>
        <w:rPr>
          <w:rFonts w:ascii="Arial" w:cs="Arial" w:eastAsia="Arial" w:hAnsi="Arial"/>
          <w:b/>
          <w:bCs/>
          <w:sz w:val="26"/>
          <w:szCs w:val="26"/>
        </w:rPr>
        <w:t xml:space="preserve">5.4 Alternative Policies</w:t>
      </w:r>
    </w:p>
    <w:p>
      <w:pPr>
        <w:spacing w:after="200" w:line="276"/>
      </w:pPr>
      <w:r>
        <w:rPr>
          <w:rFonts w:ascii="Arial" w:cs="Arial" w:eastAsia="Arial" w:hAnsi="Arial"/>
          <w:sz w:val="22"/>
          <w:szCs w:val="22"/>
        </w:rPr>
        <w:t xml:space="preserve">The framework supports configurable policies with different risk tolerances: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T₀ Max</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T₁ Max</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T₂ Max</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T₃ Max</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T₄ Max</w:t>
            </w:r>
          </w:p>
        </w:tc>
        <w:tc>
          <w:tcPr>
            <w:tcW w:type="dxa" w:w="1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T₅ Max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Conservative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R₁</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R₁</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R₂</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R₃</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R₄</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R₅</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Moderate</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R₁</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R₂</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R₃</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R₄</w:t>
            </w:r>
          </w:p>
        </w:tc>
        <w:tc>
          <w:tcPr>
            <w:tcW w:type="dxa" w:w="11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R₅</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R₅</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Permissive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R₂</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R₃</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R₄</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R₅</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R₅</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R₅</w:t>
            </w:r>
          </w:p>
        </w:tc>
      </w:tr>
    </w:tbl>
    <w:p>
      <w:r>
        <w:br w:type="page"/>
      </w:r>
    </w:p>
    <w:p>
      <w:pPr>
        <w:pStyle w:val="Heading1"/>
        <w:spacing w:before="400" w:after="200"/>
      </w:pPr>
      <w:r>
        <w:rPr>
          <w:rFonts w:ascii="Arial" w:cs="Arial" w:eastAsia="Arial" w:hAnsi="Arial"/>
          <w:b/>
          <w:bCs/>
          <w:sz w:val="32"/>
          <w:szCs w:val="32"/>
        </w:rPr>
        <w:t xml:space="preserve">6. Dynamic Trust Modifiers</w:t>
      </w:r>
    </w:p>
    <w:p>
      <w:pPr>
        <w:pStyle w:val="Heading2"/>
        <w:spacing w:before="300" w:after="150"/>
      </w:pPr>
      <w:r>
        <w:rPr>
          <w:rFonts w:ascii="Arial" w:cs="Arial" w:eastAsia="Arial" w:hAnsi="Arial"/>
          <w:b/>
          <w:bCs/>
          <w:sz w:val="26"/>
          <w:szCs w:val="26"/>
        </w:rPr>
        <w:t xml:space="preserve">6.1 Modifier Function</w:t>
      </w:r>
    </w:p>
    <w:p>
      <w:pPr>
        <w:spacing w:after="200" w:line="276"/>
      </w:pPr>
      <w:r>
        <w:rPr>
          <w:rFonts w:ascii="Arial" w:cs="Arial" w:eastAsia="Arial" w:hAnsi="Arial"/>
          <w:sz w:val="22"/>
          <w:szCs w:val="22"/>
        </w:rPr>
        <w:t xml:space="preserve">Trust modifiers adjust dimension scores based on events. A modifier m = (d, δ₀, t₀, λ, t_exp) where d is the affected dimension, δ₀ is initial delta, t₀ is creation time, λ is decay rate, and t_exp is optional expiry.</w:t>
      </w:r>
    </w:p>
    <w:p>
      <w:pPr>
        <w:spacing w:before="150" w:after="150"/>
        <w:jc w:val="center"/>
      </w:pPr>
      <w:r>
        <w:rPr>
          <w:rFonts w:ascii="Consolas" w:cs="Consolas" w:eastAsia="Consolas" w:hAnsi="Consolas"/>
          <w:i/>
          <w:iCs/>
          <w:sz w:val="22"/>
          <w:szCs w:val="22"/>
        </w:rPr>
        <w:t xml:space="preserve">δₘ(t) = δ₀ × (1 - λ)^((t - t₀)/90)</w:t>
      </w:r>
    </w:p>
    <w:p>
      <w:pPr>
        <w:pStyle w:val="Heading2"/>
        <w:spacing w:before="300" w:after="150"/>
      </w:pPr>
      <w:r>
        <w:rPr>
          <w:rFonts w:ascii="Arial" w:cs="Arial" w:eastAsia="Arial" w:hAnsi="Arial"/>
          <w:b/>
          <w:bCs/>
          <w:sz w:val="26"/>
          <w:szCs w:val="26"/>
        </w:rPr>
        <w:t xml:space="preserve">6.2 Positive Modifiers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Initial Delta</w:t>
            </w:r>
          </w:p>
        </w:tc>
        <w:tc>
          <w:tcPr>
            <w:tcW w:type="dxa" w:w="2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Successful high-risk task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Clean audit period</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Governance</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+5</w:t>
            </w:r>
          </w:p>
        </w:tc>
        <w:tc>
          <w:tcPr>
            <w:tcW w:type="dxa" w:w="2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patch applied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New certification obtained</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Governance</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w:t>
            </w:r>
          </w:p>
        </w:tc>
        <w:tc>
          <w:tcPr>
            <w:tcW w:type="dxa" w:w="2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w:t>
            </w:r>
          </w:p>
        </w:tc>
      </w:tr>
    </w:tbl>
    <w:p>
      <w:pPr>
        <w:pStyle w:val="Heading2"/>
        <w:spacing w:before="300" w:after="150"/>
      </w:pPr>
      <w:r>
        <w:rPr>
          <w:rFonts w:ascii="Arial" w:cs="Arial" w:eastAsia="Arial" w:hAnsi="Arial"/>
          <w:b/>
          <w:bCs/>
          <w:sz w:val="26"/>
          <w:szCs w:val="26"/>
        </w:rPr>
        <w:t xml:space="preserve">6.3 Negative Modifiers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Initial Delta</w:t>
            </w:r>
          </w:p>
        </w:tc>
        <w:tc>
          <w:tcPr>
            <w:tcW w:type="dxa" w:w="2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Failed task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to -30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Gradual decay</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Security incident</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Security</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-50</w:t>
            </w:r>
          </w:p>
        </w:tc>
        <w:tc>
          <w:tcPr>
            <w:tcW w:type="dxa" w:w="2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6 months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 lapse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Governance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Until remediated</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Alignment drift detected</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Behavioral</w:t>
            </w:r>
          </w:p>
        </w:tc>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w:t>
            </w:r>
          </w:p>
        </w:tc>
        <w:tc>
          <w:tcPr>
            <w:tcW w:type="dxa" w:w="25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Re-evaluation</w:t>
            </w:r>
          </w:p>
        </w:tc>
      </w:tr>
    </w:tbl>
    <w:p>
      <w:r>
        <w:br w:type="page"/>
      </w:r>
    </w:p>
    <w:p>
      <w:pPr>
        <w:pStyle w:val="Heading1"/>
        <w:spacing w:before="400" w:after="200"/>
      </w:pPr>
      <w:r>
        <w:rPr>
          <w:rFonts w:ascii="Arial" w:cs="Arial" w:eastAsia="Arial" w:hAnsi="Arial"/>
          <w:b/>
          <w:bCs/>
          <w:sz w:val="32"/>
          <w:szCs w:val="32"/>
        </w:rPr>
        <w:t xml:space="preserve">7. Simulation Framework</w:t>
      </w:r>
    </w:p>
    <w:p>
      <w:pPr>
        <w:pStyle w:val="Heading2"/>
        <w:spacing w:before="300" w:after="150"/>
      </w:pPr>
      <w:r>
        <w:rPr>
          <w:rFonts w:ascii="Arial" w:cs="Arial" w:eastAsia="Arial" w:hAnsi="Arial"/>
          <w:b/>
          <w:bCs/>
          <w:sz w:val="26"/>
          <w:szCs w:val="26"/>
        </w:rPr>
        <w:t xml:space="preserve">7.1 Monte Carlo Methodology</w:t>
      </w:r>
    </w:p>
    <w:p>
      <w:pPr>
        <w:spacing w:after="200" w:line="276"/>
      </w:pPr>
      <w:r>
        <w:rPr>
          <w:rFonts w:ascii="Arial" w:cs="Arial" w:eastAsia="Arial" w:hAnsi="Arial"/>
          <w:sz w:val="22"/>
          <w:szCs w:val="22"/>
        </w:rPr>
        <w:t xml:space="preserve">The framework includes a Monte Carlo simulation engine for validating policy effectiveness. Each simulation run generates synthetic agents with configurable quality distributions and evaluates policy decisions against a ground truth oracle.</w:t>
      </w:r>
    </w:p>
    <w:p>
      <w:pPr>
        <w:pStyle w:val="Heading2"/>
        <w:spacing w:before="300" w:after="150"/>
      </w:pPr>
      <w:r>
        <w:rPr>
          <w:rFonts w:ascii="Arial" w:cs="Arial" w:eastAsia="Arial" w:hAnsi="Arial"/>
          <w:b/>
          <w:bCs/>
          <w:sz w:val="26"/>
          <w:szCs w:val="26"/>
        </w:rPr>
        <w:t xml:space="preserve">7.2 Performance Metrics</w:t>
      </w:r>
    </w:p>
    <w:p>
      <w:pPr>
        <w:spacing w:after="200" w:line="276"/>
      </w:pPr>
      <w:r>
        <w:rPr>
          <w:rFonts w:ascii="Arial" w:cs="Arial" w:eastAsia="Arial" w:hAnsi="Arial"/>
          <w:sz w:val="22"/>
          <w:szCs w:val="22"/>
        </w:rPr>
        <w:t xml:space="preserve">For each simulation run σ producing confusion matrix (TP, TN, FP, FN):</w:t>
      </w:r>
    </w:p>
    <w:p>
      <w:pPr>
        <w:spacing w:before="150" w:after="150"/>
        <w:jc w:val="center"/>
      </w:pPr>
      <w:r>
        <w:rPr>
          <w:rFonts w:ascii="Consolas" w:cs="Consolas" w:eastAsia="Consolas" w:hAnsi="Consolas"/>
          <w:i/>
          <w:iCs/>
          <w:sz w:val="22"/>
          <w:szCs w:val="22"/>
        </w:rPr>
        <w:t xml:space="preserve">Precision = TP / (TP + FP)</w:t>
      </w:r>
    </w:p>
    <w:p>
      <w:pPr>
        <w:spacing w:before="150" w:after="150"/>
        <w:jc w:val="center"/>
      </w:pPr>
      <w:r>
        <w:rPr>
          <w:rFonts w:ascii="Consolas" w:cs="Consolas" w:eastAsia="Consolas" w:hAnsi="Consolas"/>
          <w:i/>
          <w:iCs/>
          <w:sz w:val="22"/>
          <w:szCs w:val="22"/>
        </w:rPr>
        <w:t xml:space="preserve">Recall = TP / (TP + FN)</w:t>
      </w:r>
    </w:p>
    <w:p>
      <w:pPr>
        <w:spacing w:before="150" w:after="150"/>
        <w:jc w:val="center"/>
      </w:pPr>
      <w:r>
        <w:rPr>
          <w:rFonts w:ascii="Consolas" w:cs="Consolas" w:eastAsia="Consolas" w:hAnsi="Consolas"/>
          <w:i/>
          <w:iCs/>
          <w:sz w:val="22"/>
          <w:szCs w:val="22"/>
        </w:rPr>
        <w:t xml:space="preserve">F₁ = 2 × Precision × Recall / (Precision + Recall)</w:t>
      </w:r>
    </w:p>
    <w:p>
      <w:pPr>
        <w:spacing w:before="150" w:after="150"/>
        <w:jc w:val="center"/>
      </w:pPr>
      <w:r>
        <w:rPr>
          <w:rFonts w:ascii="Consolas" w:cs="Consolas" w:eastAsia="Consolas" w:hAnsi="Consolas"/>
          <w:i/>
          <w:iCs/>
          <w:sz w:val="22"/>
          <w:szCs w:val="22"/>
        </w:rPr>
        <w:t xml:space="preserve">Accuracy = (TP + TN) / (TP + TN + FP + FN)</w:t>
      </w:r>
    </w:p>
    <w:p>
      <w:pPr>
        <w:pStyle w:val="Heading2"/>
        <w:spacing w:before="300" w:after="150"/>
      </w:pPr>
      <w:r>
        <w:rPr>
          <w:rFonts w:ascii="Arial" w:cs="Arial" w:eastAsia="Arial" w:hAnsi="Arial"/>
          <w:b/>
          <w:bCs/>
          <w:sz w:val="26"/>
          <w:szCs w:val="26"/>
        </w:rPr>
        <w:t xml:space="preserve">7.3 Validation Results</w:t>
      </w:r>
    </w:p>
    <w:p>
      <w:pPr>
        <w:spacing w:after="200" w:line="276"/>
      </w:pPr>
      <w:r>
        <w:rPr>
          <w:rFonts w:ascii="Arial" w:cs="Arial" w:eastAsia="Arial" w:hAnsi="Arial"/>
          <w:sz w:val="22"/>
          <w:szCs w:val="22"/>
        </w:rPr>
        <w:t xml:space="preserve">Validation experiments with 50 Monte Carlo runs (100 agents × 20 tasks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Permissive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Permit 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0.491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0.851</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Precision</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0.780</w:t>
            </w:r>
          </w:p>
        </w:tc>
        <w:tc>
          <w:tcPr>
            <w:tcW w:type="dxa" w:w="2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0.410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0.620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0.950</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F₁ Score</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0.673</w:t>
            </w:r>
          </w:p>
        </w:tc>
        <w:tc>
          <w:tcPr>
            <w:tcW w:type="dxa" w:w="2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0.619</w:t>
            </w:r>
          </w:p>
        </w:tc>
        <w:tc>
          <w:tcPr>
            <w:tcW w:type="dxa" w:w="27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0.411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0.892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0.730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0.370</w:t>
            </w:r>
          </w:p>
        </w:tc>
      </w:tr>
    </w:tbl>
    <w:p>
      <w:pPr>
        <w:pStyle w:val="Heading2"/>
        <w:spacing w:before="300" w:after="150"/>
      </w:pPr>
      <w:r>
        <w:rPr>
          <w:rFonts w:ascii="Arial" w:cs="Arial" w:eastAsia="Arial" w:hAnsi="Arial"/>
          <w:b/>
          <w:bCs/>
          <w:sz w:val="26"/>
          <w:szCs w:val="26"/>
        </w:rPr>
        <w:t xml:space="preserve">7.4 Key Finding</w:t>
      </w:r>
    </w:p>
    <w:p>
      <w:pPr>
        <w:spacing w:after="200" w:line="276"/>
      </w:pPr>
      <w:r>
        <w:rPr>
          <w:rFonts w:ascii="Arial" w:cs="Arial" w:eastAsia="Arial" w:hAnsi="Arial"/>
          <w:sz w:val="22"/>
          <w:szCs w:val="22"/>
        </w:rPr>
        <w:t xml:space="preserve">The conservative policy achieves perfect precision (1.000) with zero false positives, meaning no unsafe operations are permitted. This comes at the cost of lower recall (0.520), as some safe operations are conservatively denied. This trade-off aligns with the safety-first design principle.</w:t>
      </w:r>
    </w:p>
    <w:p>
      <w:r>
        <w:br w:type="page"/>
      </w:r>
    </w:p>
    <w:p>
      <w:pPr>
        <w:pStyle w:val="Heading1"/>
        <w:spacing w:before="400" w:after="200"/>
      </w:pPr>
      <w:r>
        <w:rPr>
          <w:rFonts w:ascii="Arial" w:cs="Arial" w:eastAsia="Arial" w:hAnsi="Arial"/>
          <w:b/>
          <w:bCs/>
          <w:sz w:val="32"/>
          <w:szCs w:val="32"/>
        </w:rPr>
        <w:t xml:space="preserve">8. Formal Properties</w:t>
      </w:r>
    </w:p>
    <w:p>
      <w:pPr>
        <w:pStyle w:val="Heading2"/>
        <w:spacing w:before="300" w:after="150"/>
      </w:pPr>
      <w:r>
        <w:rPr>
          <w:rFonts w:ascii="Arial" w:cs="Arial" w:eastAsia="Arial" w:hAnsi="Arial"/>
          <w:b/>
          <w:bCs/>
          <w:sz w:val="26"/>
          <w:szCs w:val="26"/>
        </w:rPr>
        <w:t xml:space="preserve">8.1 Safety Theorems</w:t>
      </w:r>
    </w:p>
    <w:p>
      <w:pPr>
        <w:pStyle w:val="Heading3"/>
        <w:spacing w:before="200" w:after="100"/>
      </w:pPr>
      <w:r>
        <w:rPr>
          <w:rFonts w:ascii="Arial" w:cs="Arial" w:eastAsia="Arial" w:hAnsi="Arial"/>
          <w:b/>
          <w:bCs/>
          <w:sz w:val="22"/>
          <w:szCs w:val="22"/>
        </w:rPr>
        <w:t xml:space="preserve">Theorem 8.1 (No Unsafe Escalation)</w:t>
      </w:r>
    </w:p>
    <w:p>
      <w:pPr>
        <w:spacing w:after="200" w:line="276"/>
      </w:pPr>
      <w:r>
        <w:rPr>
          <w:rFonts w:ascii="Arial" w:cs="Arial" w:eastAsia="Arial" w:hAnsi="Arial"/>
          <w:sz w:val="22"/>
          <w:szCs w:val="22"/>
        </w:rPr>
        <w:t xml:space="preserve">Under a valid policy Π with monotonic alignment matrix:</w:t>
      </w:r>
    </w:p>
    <w:p>
      <w:pPr>
        <w:spacing w:before="150" w:after="150"/>
        <w:jc w:val="center"/>
      </w:pPr>
      <w:r>
        <w:rPr>
          <w:rFonts w:ascii="Consolas" w:cs="Consolas" w:eastAsia="Consolas" w:hAnsi="Consolas"/>
          <w:i/>
          <w:iCs/>
          <w:sz w:val="22"/>
          <w:szCs w:val="22"/>
        </w:rPr>
        <w:t xml:space="preserve">∀ A, r : permitted(Π, A, r) ⟹ r ≤ M(τ(T(A)))</w:t>
      </w:r>
    </w:p>
    <w:p>
      <w:pPr>
        <w:spacing w:after="200" w:line="276"/>
      </w:pPr>
      <w:r>
        <w:rPr>
          <w:rFonts w:ascii="Arial" w:cs="Arial" w:eastAsia="Arial" w:hAnsi="Arial"/>
          <w:i/>
          <w:iCs/>
          <w:sz w:val="22"/>
          <w:szCs w:val="22"/>
        </w:rPr>
        <w:t xml:space="preserve">Proof: By definition of the permission predicate. ∎</w:t>
      </w:r>
    </w:p>
    <w:p>
      <w:pPr>
        <w:pStyle w:val="Heading3"/>
        <w:spacing w:before="200" w:after="100"/>
      </w:pPr>
      <w:r>
        <w:rPr>
          <w:rFonts w:ascii="Arial" w:cs="Arial" w:eastAsia="Arial" w:hAnsi="Arial"/>
          <w:b/>
          <w:bCs/>
          <w:sz w:val="22"/>
          <w:szCs w:val="22"/>
        </w:rPr>
        <w:t xml:space="preserve">Theorem 8.2 (Trust Score Bounds)</w:t>
      </w:r>
    </w:p>
    <w:p>
      <w:pPr>
        <w:spacing w:after="200" w:line="276"/>
      </w:pPr>
      <w:r>
        <w:rPr>
          <w:rFonts w:ascii="Arial" w:cs="Arial" w:eastAsia="Arial" w:hAnsi="Arial"/>
          <w:sz w:val="22"/>
          <w:szCs w:val="22"/>
        </w:rPr>
        <w:t xml:space="preserve">For all valid agent profiles: T(A) ∈ [0, 1000]</w:t>
      </w:r>
    </w:p>
    <w:p>
      <w:pPr>
        <w:spacing w:after="200" w:line="276"/>
      </w:pPr>
      <w:r>
        <w:rPr>
          <w:rFonts w:ascii="Arial" w:cs="Arial" w:eastAsia="Arial" w:hAnsi="Arial"/>
          <w:i/>
          <w:iCs/>
          <w:sz w:val="22"/>
          <w:szCs w:val="22"/>
        </w:rPr>
        <w:t xml:space="preserve">Proof: Since D_i^eff ∈ [0, 100] for all i, and Σw_i = 1: T(A) = 10 × Σw_i × D_i^eff ≤ 10 × 100 = 1000. Similarly T(A) ≥ 0. ∎</w:t>
      </w:r>
    </w:p>
    <w:p>
      <w:pPr>
        <w:pStyle w:val="Heading3"/>
        <w:spacing w:before="200" w:after="100"/>
      </w:pPr>
      <w:r>
        <w:rPr>
          <w:rFonts w:ascii="Arial" w:cs="Arial" w:eastAsia="Arial" w:hAnsi="Arial"/>
          <w:b/>
          <w:bCs/>
          <w:sz w:val="22"/>
          <w:szCs w:val="22"/>
        </w:rPr>
        <w:t xml:space="preserve">Theorem 8.3 (Recovery Possibility)</w:t>
      </w:r>
    </w:p>
    <w:p>
      <w:pPr>
        <w:spacing w:after="200" w:line="276"/>
      </w:pPr>
      <w:r>
        <w:rPr>
          <w:rFonts w:ascii="Arial" w:cs="Arial" w:eastAsia="Arial" w:hAnsi="Arial"/>
          <w:sz w:val="22"/>
          <w:szCs w:val="22"/>
        </w:rPr>
        <w:t xml:space="preserve">For any agent in tier T_i &lt; T₅, there exists a sequence of actions leading to tier T_{i+1}.</w:t>
      </w:r>
    </w:p>
    <w:p>
      <w:pPr>
        <w:spacing w:after="200" w:line="276"/>
      </w:pPr>
      <w:r>
        <w:rPr>
          <w:rFonts w:ascii="Arial" w:cs="Arial" w:eastAsia="Arial" w:hAnsi="Arial"/>
          <w:i/>
          <w:iCs/>
          <w:sz w:val="22"/>
          <w:szCs w:val="22"/>
        </w:rPr>
        <w:t xml:space="preserve">Proof: By construction of positive modifiers and tier promotion rules. ∎</w:t>
      </w:r>
    </w:p>
    <w:p>
      <w:pPr>
        <w:pStyle w:val="Heading2"/>
        <w:spacing w:before="300" w:after="150"/>
      </w:pPr>
      <w:r>
        <w:rPr>
          <w:rFonts w:ascii="Arial" w:cs="Arial" w:eastAsia="Arial" w:hAnsi="Arial"/>
          <w:b/>
          <w:bCs/>
          <w:sz w:val="26"/>
          <w:szCs w:val="26"/>
        </w:rPr>
        <w:t xml:space="preserve">8.2 Computational Complexity</w:t>
      </w:r>
    </w:p>
    <w:p>
      <w:pPr>
        <w:spacing w:after="200" w:line="276"/>
      </w:pPr>
      <w:r>
        <w:rPr>
          <w:rFonts w:ascii="Arial" w:cs="Arial" w:eastAsia="Arial" w:hAnsi="Arial"/>
          <w:sz w:val="22"/>
          <w:szCs w:val="22"/>
        </w:rPr>
        <w:t xml:space="preserve">Trust score calculation is O(|F|) where |F| is the total number of factors (28 in standard configuration). Policy evaluation is O(|R_rules|) for rule checking, typically constant for standard policies.</w:t>
      </w:r>
    </w:p>
    <w:p>
      <w:r>
        <w:br w:type="page"/>
      </w:r>
    </w:p>
    <w:p>
      <w:pPr>
        <w:pStyle w:val="Heading1"/>
        <w:spacing w:before="400" w:after="200"/>
      </w:pPr>
      <w:r>
        <w:rPr>
          <w:rFonts w:ascii="Arial" w:cs="Arial" w:eastAsia="Arial" w:hAnsi="Arial"/>
          <w:b/>
          <w:bCs/>
          <w:sz w:val="32"/>
          <w:szCs w:val="32"/>
        </w:rPr>
        <w:t xml:space="preserve">9. Implementation</w:t>
      </w:r>
    </w:p>
    <w:p>
      <w:pPr>
        <w:pStyle w:val="Heading2"/>
        <w:spacing w:before="300" w:after="150"/>
      </w:pPr>
      <w:r>
        <w:rPr>
          <w:rFonts w:ascii="Arial" w:cs="Arial" w:eastAsia="Arial" w:hAnsi="Arial"/>
          <w:b/>
          <w:bCs/>
          <w:sz w:val="26"/>
          <w:szCs w:val="26"/>
        </w:rPr>
        <w:t xml:space="preserve">9.1 Reference Implementation</w:t>
      </w:r>
    </w:p>
    <w:p>
      <w:pPr>
        <w:spacing w:after="200" w:line="276"/>
      </w:pPr>
      <w:r>
        <w:rPr>
          <w:rFonts w:ascii="Arial" w:cs="Arial" w:eastAsia="Arial" w:hAnsi="Arial"/>
          <w:sz w:val="22"/>
          <w:szCs w:val="22"/>
        </w:rPr>
        <w:t xml:space="preserve">A complete Python reference implementation is provided with the following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20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Lines of Code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trust_score.py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scoring engine with all dimensions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risk_classification.py</w:t>
            </w:r>
          </w:p>
        </w:tc>
        <w:tc>
          <w:tcPr>
            <w:tcW w:type="dxa" w:w="4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Risk taxonomy and task registry</w:t>
            </w:r>
          </w:p>
        </w:tc>
        <w:tc>
          <w:tcPr>
            <w:tcW w:type="dxa" w:w="2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~650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alignment_policy.py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engine with three standard policies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~550</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monte_carlo.py</w:t>
            </w:r>
          </w:p>
        </w:tc>
        <w:tc>
          <w:tcPr>
            <w:tcW w:type="dxa" w:w="4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Simulation framework with optimization</w:t>
            </w:r>
          </w:p>
        </w:tc>
        <w:tc>
          <w:tcPr>
            <w:tcW w:type="dxa" w:w="20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~750</w:t>
            </w:r>
          </w:p>
        </w:tc>
      </w:tr>
    </w:tbl>
    <w:p>
      <w:pPr>
        <w:pStyle w:val="Heading2"/>
        <w:spacing w:before="300" w:after="150"/>
      </w:pPr>
      <w:r>
        <w:rPr>
          <w:rFonts w:ascii="Arial" w:cs="Arial" w:eastAsia="Arial" w:hAnsi="Arial"/>
          <w:b/>
          <w:bCs/>
          <w:sz w:val="26"/>
          <w:szCs w:val="26"/>
        </w:rPr>
        <w:t xml:space="preserve">9.2 Usage Example</w:t>
      </w:r>
    </w:p>
    <w:p>
      <w:pPr>
        <w:spacing w:after="200" w:line="276"/>
      </w:pPr>
      <w:r>
        <w:rPr>
          <w:rFonts w:ascii="Arial" w:cs="Arial" w:eastAsia="Arial" w:hAnsi="Arial"/>
          <w:sz w:val="22"/>
          <w:szCs w:val="22"/>
        </w:rPr>
        <w:t xml:space="preserve">The framework provides a simple API for trust evaluation:</w:t>
      </w:r>
    </w:p>
    <w:p>
      <w:pPr>
        <w:spacing w:before="100" w:after="50"/>
      </w:pPr>
      <w:r>
        <w:rPr>
          <w:rFonts w:ascii="Consolas" w:cs="Consolas" w:eastAsia="Consolas" w:hAnsi="Consolas"/>
          <w:sz w:val="20"/>
          <w:szCs w:val="20"/>
        </w:rPr>
        <w:t xml:space="preserve">from atsf import PolicyEngine, create_conservative_policy</w:t>
      </w:r>
    </w:p>
    <w:p>
      <w:pPr>
        <w:spacing w:after="50"/>
      </w:pPr>
      <w:r>
        <w:rPr>
          <w:rFonts w:ascii="Consolas" w:cs="Consolas" w:eastAsia="Consolas" w:hAnsi="Consolas"/>
          <w:sz w:val="20"/>
          <w:szCs w:val="20"/>
        </w:rPr>
        <w:t xml:space="preserve">engine = PolicyEngine(create_conservative_policy())</w:t>
      </w:r>
    </w:p>
    <w:p>
      <w:pPr>
        <w:spacing w:after="200"/>
      </w:pPr>
      <w:r>
        <w:rPr>
          <w:rFonts w:ascii="Consolas" w:cs="Consolas" w:eastAsia="Consolas" w:hAnsi="Consolas"/>
          <w:sz w:val="20"/>
          <w:szCs w:val="20"/>
        </w:rPr>
        <w:t xml:space="preserve">decision = engine.evaluate(agent, task_description, context)</w:t>
      </w:r>
    </w:p>
    <w:p>
      <w:r>
        <w:br w:type="page"/>
      </w:r>
    </w:p>
    <w:p>
      <w:pPr>
        <w:pStyle w:val="Heading1"/>
        <w:spacing w:before="400" w:after="200"/>
      </w:pPr>
      <w:r>
        <w:rPr>
          <w:rFonts w:ascii="Arial" w:cs="Arial" w:eastAsia="Arial" w:hAnsi="Arial"/>
          <w:b/>
          <w:bCs/>
          <w:sz w:val="32"/>
          <w:szCs w:val="32"/>
        </w:rPr>
        <w:t xml:space="preserve">10. Conclusion</w:t>
      </w:r>
    </w:p>
    <w:p>
      <w:pPr>
        <w:spacing w:after="200" w:line="276"/>
      </w:pPr>
      <w:r>
        <w:rPr>
          <w:rFonts w:ascii="Arial" w:cs="Arial" w:eastAsia="Arial" w:hAnsi="Arial"/>
          <w:sz w:val="22"/>
          <w:szCs w:val="22"/>
        </w:rPr>
        <w:t xml:space="preserve">The AI Agent Trust Scoring Framework provides a mathematically rigorous foundation for evaluating AI agent trustworthiness and enforcing risk-appropriate access controls. Key contributions include:</w:t>
      </w:r>
    </w:p>
    <w:p>
      <w:pPr>
        <w:spacing w:after="200" w:line="276"/>
      </w:pPr>
      <w:r>
        <w:rPr>
          <w:rFonts w:ascii="Arial" w:cs="Arial" w:eastAsia="Arial" w:hAnsi="Arial"/>
          <w:sz w:val="22"/>
          <w:szCs w:val="22"/>
        </w:rPr>
        <w:t xml:space="preserve">• A seven-dimension trust scoring model with 28 factors and configurable weights</w:t>
      </w:r>
    </w:p>
    <w:p>
      <w:pPr>
        <w:spacing w:after="200" w:line="276"/>
      </w:pPr>
      <w:r>
        <w:rPr>
          <w:rFonts w:ascii="Arial" w:cs="Arial" w:eastAsia="Arial" w:hAnsi="Arial"/>
          <w:sz w:val="22"/>
          <w:szCs w:val="22"/>
        </w:rPr>
        <w:t xml:space="preserve">• A five-level risk classification taxonomy with comprehensive task coverage</w:t>
      </w:r>
    </w:p>
    <w:p>
      <w:pPr>
        <w:spacing w:after="200" w:line="276"/>
      </w:pPr>
      <w:r>
        <w:rPr>
          <w:rFonts w:ascii="Arial" w:cs="Arial" w:eastAsia="Arial" w:hAnsi="Arial"/>
          <w:sz w:val="22"/>
          <w:szCs w:val="22"/>
        </w:rPr>
        <w:t xml:space="preserve">• An alignment policy framework with formal safety guarantees</w:t>
      </w:r>
    </w:p>
    <w:p>
      <w:pPr>
        <w:spacing w:after="200" w:line="276"/>
      </w:pPr>
      <w:r>
        <w:rPr>
          <w:rFonts w:ascii="Arial" w:cs="Arial" w:eastAsia="Arial" w:hAnsi="Arial"/>
          <w:sz w:val="22"/>
          <w:szCs w:val="22"/>
        </w:rPr>
        <w:t xml:space="preserve">• A Monte Carlo simulation framework for policy validation</w:t>
      </w:r>
    </w:p>
    <w:p>
      <w:pPr>
        <w:spacing w:after="200" w:line="276"/>
      </w:pPr>
      <w:r>
        <w:rPr>
          <w:rFonts w:ascii="Arial" w:cs="Arial" w:eastAsia="Arial" w:hAnsi="Arial"/>
          <w:sz w:val="22"/>
          <w:szCs w:val="22"/>
        </w:rPr>
        <w:t xml:space="preserve">• A complete reference implementation ready for production use</w:t>
      </w:r>
    </w:p>
    <w:p>
      <w:pPr>
        <w:spacing w:after="200" w:line="276"/>
      </w:pPr>
      <w:r>
        <w:rPr>
          <w:rFonts w:ascii="Arial" w:cs="Arial" w:eastAsia="Arial" w:hAnsi="Arial"/>
          <w:sz w:val="22"/>
          <w:szCs w:val="22"/>
        </w:rPr>
        <w:t xml:space="preserve">Validation experiments confirm the framework achieves its safety objectives, with the conservative policy demonstrating perfect precision in preventing unsafe operations.</w:t>
      </w:r>
    </w:p>
    <w:p>
      <w:pPr>
        <w:pStyle w:val="Heading2"/>
        <w:spacing w:before="300" w:after="150"/>
      </w:pPr>
      <w:r>
        <w:rPr>
          <w:rFonts w:ascii="Arial" w:cs="Arial" w:eastAsia="Arial" w:hAnsi="Arial"/>
          <w:b/>
          <w:bCs/>
          <w:sz w:val="26"/>
          <w:szCs w:val="26"/>
        </w:rPr>
        <w:t xml:space="preserve">10.1 Future Work</w:t>
      </w:r>
    </w:p>
    <w:p>
      <w:pPr>
        <w:spacing w:after="200" w:line="276"/>
      </w:pPr>
      <w:r>
        <w:rPr>
          <w:rFonts w:ascii="Arial" w:cs="Arial" w:eastAsia="Arial" w:hAnsi="Arial"/>
          <w:sz w:val="22"/>
          <w:szCs w:val="22"/>
        </w:rPr>
        <w:t xml:space="preserve">Open research questions include multi-agent trust composition, adversarial gaming resistance, context-sensitive trust scoring, optimal decay functions for temporal dynamics, and cross-registry interoperability for trust score portability.</w:t>
      </w:r>
    </w:p>
    <w:p>
      <w:r>
        <w:br w:type="page"/>
      </w:r>
    </w:p>
    <w:p>
      <w:pPr>
        <w:pStyle w:val="Heading1"/>
        <w:spacing w:before="400" w:after="200"/>
      </w:pPr>
      <w:r>
        <w:rPr>
          <w:rFonts w:ascii="Arial" w:cs="Arial" w:eastAsia="Arial" w:hAnsi="Arial"/>
          <w:b/>
          <w:bCs/>
          <w:sz w:val="32"/>
          <w:szCs w:val="32"/>
        </w:rPr>
        <w:t xml:space="preserve">Appendix A: Complete Factor Reference</w:t>
      </w:r>
    </w:p>
    <w:p>
      <w:pPr>
        <w:pStyle w:val="Heading2"/>
        <w:spacing w:before="300" w:after="150"/>
      </w:pPr>
      <w:r>
        <w:rPr>
          <w:rFonts w:ascii="Arial" w:cs="Arial" w:eastAsia="Arial" w:hAnsi="Arial"/>
          <w:b/>
          <w:bCs/>
          <w:sz w:val="26"/>
          <w:szCs w:val="26"/>
        </w:rPr>
        <w:t xml:space="preserve">A.1 All Dimension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800"/>
        <w:gridCol w:w="1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1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Identity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Provenance</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Model Attestation</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Data Provenance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Provenance</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Supply Chain Integrity</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Reputation Score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Capability</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Scope Definition</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Capability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Hallucination Rate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Inverse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Capability</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Out-of-Scope Refusal</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Capability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Benchmark Accuracy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Behavioral</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Output Determinism</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Behavioral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Temporal Stability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Behavioral</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Adversarial Robustness</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Behavioral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Edge Case Handling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Prompt Injection Resistance</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Jailbreak Resistance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Data Isolation</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 Sandboxing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Logging Completeness</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Explainability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Real-time Monitoring</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 Trail Integrity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Track Record</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Task Success Rate</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30</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Record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Incident History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Inverse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Track Record</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MTBF</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Record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Feedback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Governance</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Compliance Attestations</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Governance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Third-party Audits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Governance</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Liability Coverage</w:t>
            </w:r>
          </w:p>
        </w:tc>
        <w:tc>
          <w:tcPr>
            <w:tcW w:type="dxa" w:w="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Discrete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Governance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SLA Adherence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w:t>
            </w:r>
          </w:p>
        </w:tc>
      </w:tr>
    </w:tbl>
    <w:p>
      <w:pPr>
        <w:spacing w:after="400"/>
      </w:pPr>
    </w:p>
    <w:p>
      <w:pPr>
        <w:jc w:val="center"/>
      </w:pPr>
      <w:r>
        <w:rPr>
          <w:rFonts w:ascii="Arial" w:cs="Arial" w:eastAsia="Arial" w:hAnsi="Arial"/>
          <w:i/>
          <w:iCs/>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AI Agent Trust Scoring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2026-01-06T16:52:54.237Z</dcterms:created>
  <dcterms:modified xsi:type="dcterms:W3CDTF">2026-01-06T16:52:54.237Z</dcterms:modified>
</cp:coreProperties>
</file>

<file path=docProps/custom.xml><?xml version="1.0" encoding="utf-8"?>
<Properties xmlns="http://schemas.openxmlformats.org/officeDocument/2006/custom-properties" xmlns:vt="http://schemas.openxmlformats.org/officeDocument/2006/docPropsVTypes"/>
</file>