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A365D"/>
          <w:sz w:val="44"/>
          <w:szCs w:val="44"/>
        </w:rPr>
        <w:t xml:space="preserve">수원 행궁동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A365D"/>
          <w:sz w:val="44"/>
          <w:szCs w:val="44"/>
        </w:rPr>
        <w:t xml:space="preserve">글로컬 상권 활성화 사업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color w:val="4A6FA5"/>
          <w:sz w:val="36"/>
          <w:szCs w:val="36"/>
        </w:rPr>
        <w:t xml:space="preserve">성과 종합 보고</w:t>
      </w:r>
    </w:p>
    <w:p>
      <w:pPr>
        <w:pBdr>
          <w:bottom w:val="single" w:color="1A365D" w:sz="12"/>
        </w:pBdr>
        <w:spacing w:after="400"/>
      </w:pPr>
    </w:p>
    <w:p>
      <w:pPr>
        <w:spacing w:after="80" w:before="0" w:line="360"/>
        <w:jc w:val="center"/>
      </w:pPr>
      <w:r>
        <w:rPr>
          <w:rFonts w:ascii="맑은 고딕" w:cs="맑은 고딕" w:eastAsia="맑은 고딕" w:hAnsi="맑은 고딕"/>
          <w:b/>
          <w:bCs/>
          <w:color w:val="4A6FA5"/>
          <w:sz w:val="24"/>
          <w:szCs w:val="24"/>
        </w:rPr>
        <w:t xml:space="preserve">사업 기간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4"/>
          <w:szCs w:val="24"/>
        </w:rPr>
        <w:t xml:space="preserve">    2024년 6월 ~ 2025년 12월</w:t>
      </w:r>
    </w:p>
    <w:p>
      <w:pPr>
        <w:spacing w:after="80" w:before="0" w:line="360"/>
        <w:jc w:val="center"/>
      </w:pPr>
      <w:r>
        <w:rPr>
          <w:rFonts w:ascii="맑은 고딕" w:cs="맑은 고딕" w:eastAsia="맑은 고딕" w:hAnsi="맑은 고딕"/>
          <w:b/>
          <w:bCs/>
          <w:color w:val="4A6FA5"/>
          <w:sz w:val="24"/>
          <w:szCs w:val="24"/>
        </w:rPr>
        <w:t xml:space="preserve">총 사업비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4"/>
          <w:szCs w:val="24"/>
        </w:rPr>
        <w:t xml:space="preserve">    최대 155억 원</w:t>
      </w:r>
    </w:p>
    <w:p>
      <w:pPr>
        <w:spacing w:after="80" w:before="0" w:line="360"/>
        <w:jc w:val="center"/>
      </w:pPr>
      <w:r>
        <w:rPr>
          <w:rFonts w:ascii="맑은 고딕" w:cs="맑은 고딕" w:eastAsia="맑은 고딕" w:hAnsi="맑은 고딕"/>
          <w:b/>
          <w:bCs/>
          <w:color w:val="4A6FA5"/>
          <w:sz w:val="24"/>
          <w:szCs w:val="24"/>
        </w:rPr>
        <w:t xml:space="preserve">운영기관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4"/>
          <w:szCs w:val="24"/>
        </w:rPr>
        <w:t xml:space="preserve">    (주)공존공간</w:t>
      </w:r>
    </w:p>
    <w:p>
      <w:pPr>
        <w:spacing w:after="400" w:before="0" w:line="360"/>
        <w:jc w:val="center"/>
      </w:pPr>
      <w:r>
        <w:rPr>
          <w:rFonts w:ascii="맑은 고딕" w:cs="맑은 고딕" w:eastAsia="맑은 고딕" w:hAnsi="맑은 고딕"/>
          <w:b/>
          <w:bCs/>
          <w:color w:val="4A6FA5"/>
          <w:sz w:val="24"/>
          <w:szCs w:val="24"/>
        </w:rPr>
        <w:t xml:space="preserve">보고 대상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4"/>
          <w:szCs w:val="24"/>
        </w:rPr>
        <w:t xml:space="preserve">    중소벤처기업부</w:t>
      </w:r>
    </w:p>
    <w:p>
      <w:pPr>
        <w:spacing w:after="0" w:before="0" w:line="36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718096"/>
          <w:sz w:val="24"/>
          <w:szCs w:val="24"/>
        </w:rPr>
        <w:t xml:space="preserve">2026년 3월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A365D" w:sz="6"/>
        </w:pBdr>
        <w:spacing w:after="120" w:before="200" w:line="360"/>
      </w:pPr>
      <w:r>
        <w:rPr>
          <w:rFonts w:ascii="맑은 고딕" w:cs="맑은 고딕" w:eastAsia="맑은 고딕" w:hAnsi="맑은 고딕"/>
          <w:b/>
          <w:bCs/>
          <w:color w:val="1A365D"/>
          <w:sz w:val="28"/>
          <w:szCs w:val="28"/>
        </w:rPr>
        <w:t xml:space="preserve">목 차</w:t>
      </w:r>
    </w:p>
    <w:p>
      <w:pPr>
        <w:spacing w:after="10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p>
      <w:pPr>
        <w:spacing w:after="100" w:before="0" w:line="360"/>
        <w:ind w:left="431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4"/>
          <w:szCs w:val="24"/>
        </w:rPr>
        <w:t xml:space="preserve">1. 개요</w:t>
      </w:r>
    </w:p>
    <w:p>
      <w:pPr>
        <w:spacing w:after="100" w:before="0" w:line="360"/>
        <w:ind w:left="431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4"/>
          <w:szCs w:val="24"/>
        </w:rPr>
        <w:t xml:space="preserve">2. 연차별 핵심 성과 비교</w:t>
      </w:r>
    </w:p>
    <w:p>
      <w:pPr>
        <w:spacing w:after="100" w:before="0" w:line="360"/>
        <w:ind w:left="431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4"/>
          <w:szCs w:val="24"/>
        </w:rPr>
        <w:t xml:space="preserve">3. 정량 성과</w:t>
      </w:r>
    </w:p>
    <w:p>
      <w:pPr>
        <w:spacing w:after="100" w:before="0" w:line="360"/>
        <w:ind w:left="431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4"/>
          <w:szCs w:val="24"/>
        </w:rPr>
        <w:t xml:space="preserve">4. '온라인 간판' 만들기 — 글로벌 디지털 접근성 구축</w:t>
      </w:r>
    </w:p>
    <w:p>
      <w:pPr>
        <w:spacing w:after="100" w:before="0" w:line="360"/>
        <w:ind w:left="431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4"/>
          <w:szCs w:val="24"/>
        </w:rPr>
        <w:t xml:space="preserve">5. 환대지수 및 미스터리 쇼퍼 운영</w:t>
      </w:r>
    </w:p>
    <w:p>
      <w:pPr>
        <w:spacing w:after="100" w:before="0" w:line="360"/>
        <w:ind w:left="431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4"/>
          <w:szCs w:val="24"/>
        </w:rPr>
        <w:t xml:space="preserve">6. 글로컬 상권 연계 축제 운영 — 깍페스티벌</w:t>
      </w:r>
    </w:p>
    <w:p>
      <w:pPr>
        <w:spacing w:after="100" w:before="0" w:line="360"/>
        <w:ind w:left="431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4"/>
          <w:szCs w:val="24"/>
        </w:rPr>
        <w:t xml:space="preserve">7. 콘텐츠 제작 및 디지털 확산</w:t>
      </w:r>
    </w:p>
    <w:p>
      <w:pPr>
        <w:spacing w:after="100" w:before="0" w:line="360"/>
        <w:ind w:left="431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4"/>
          <w:szCs w:val="24"/>
        </w:rPr>
        <w:t xml:space="preserve">8. 대기업·대학 협업 유치</w:t>
      </w:r>
    </w:p>
    <w:p>
      <w:pPr>
        <w:spacing w:after="100" w:before="0" w:line="360"/>
        <w:ind w:left="431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4"/>
          <w:szCs w:val="24"/>
        </w:rPr>
        <w:t xml:space="preserve">9. 소상공인 역량 강화 — 교육 및 컨설팅</w:t>
      </w:r>
    </w:p>
    <w:p>
      <w:pPr>
        <w:spacing w:after="100" w:before="0" w:line="360"/>
        <w:ind w:left="431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4"/>
          <w:szCs w:val="24"/>
        </w:rPr>
        <w:t xml:space="preserve">10. 상권 거버넌스 구축</w:t>
      </w:r>
    </w:p>
    <w:p>
      <w:pPr>
        <w:spacing w:after="100" w:before="0" w:line="360"/>
        <w:ind w:left="431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4"/>
          <w:szCs w:val="24"/>
        </w:rPr>
        <w:t xml:space="preserve">11. 성과의 전국 확산</w:t>
      </w:r>
    </w:p>
    <w:p>
      <w:pPr>
        <w:spacing w:after="100" w:before="0" w:line="360"/>
        <w:ind w:left="431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4"/>
          <w:szCs w:val="24"/>
        </w:rPr>
        <w:t xml:space="preserve">12. 결론 및 향후 방향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A365D" w:sz="6"/>
        </w:pBdr>
        <w:spacing w:after="120" w:before="200" w:line="360"/>
      </w:pPr>
      <w:r>
        <w:rPr>
          <w:rFonts w:ascii="맑은 고딕" w:cs="맑은 고딕" w:eastAsia="맑은 고딕" w:hAnsi="맑은 고딕"/>
          <w:b/>
          <w:bCs/>
          <w:color w:val="1A365D"/>
          <w:sz w:val="28"/>
          <w:szCs w:val="28"/>
        </w:rPr>
        <w:t xml:space="preserve">핵심 성과 요약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E2E8F0" w:sz="1"/>
              <w:left w:val="single" w:color="1A365D" w:sz="18"/>
              <w:bottom w:val="single" w:color="E2E8F0" w:sz="1"/>
              <w:right w:val="single" w:color="E2E8F0" w:sz="1"/>
            </w:tcBorders>
            <w:shd w:fill="EBF1F8" w:val="clear"/>
          </w:tcPr>
          <w:p>
            <w:pPr>
              <w:spacing w:after="20" w:before="1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65D"/>
                <w:sz w:val="48"/>
                <w:szCs w:val="48"/>
              </w:rPr>
              <w:t xml:space="preserve">+107%</w:t>
            </w:r>
          </w:p>
          <w:p>
            <w:pPr>
              <w:spacing w:after="1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18096"/>
                <w:sz w:val="18"/>
                <w:szCs w:val="18"/>
              </w:rPr>
              <w:t xml:space="preserve">외국인 관광 소비액 증가 (23→25)</w:t>
            </w:r>
          </w:p>
        </w:tc>
        <w:tc>
          <w:tcPr>
            <w:tcW w:type="pct" w:w="25%"/>
            <w:tcBorders>
              <w:top w:val="single" w:color="E2E8F0" w:sz="1"/>
              <w:left w:val="single" w:color="1A365D" w:sz="18"/>
              <w:bottom w:val="single" w:color="E2E8F0" w:sz="1"/>
              <w:right w:val="single" w:color="E2E8F0" w:sz="1"/>
            </w:tcBorders>
            <w:shd w:fill="EBF1F8" w:val="clear"/>
          </w:tcPr>
          <w:p>
            <w:pPr>
              <w:spacing w:after="20" w:before="1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65D"/>
                <w:sz w:val="48"/>
                <w:szCs w:val="48"/>
              </w:rPr>
              <w:t xml:space="preserve">64→89점</w:t>
            </w:r>
          </w:p>
          <w:p>
            <w:pPr>
              <w:spacing w:after="1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18096"/>
                <w:sz w:val="18"/>
                <w:szCs w:val="18"/>
              </w:rPr>
              <w:t xml:space="preserve">환대지수 향상 (+39%)</w:t>
            </w:r>
          </w:p>
        </w:tc>
        <w:tc>
          <w:tcPr>
            <w:tcW w:type="pct" w:w="25%"/>
            <w:tcBorders>
              <w:top w:val="single" w:color="E2E8F0" w:sz="1"/>
              <w:left w:val="single" w:color="1A365D" w:sz="18"/>
              <w:bottom w:val="single" w:color="E2E8F0" w:sz="1"/>
              <w:right w:val="single" w:color="E2E8F0" w:sz="1"/>
            </w:tcBorders>
            <w:shd w:fill="EBF1F8" w:val="clear"/>
          </w:tcPr>
          <w:p>
            <w:pPr>
              <w:spacing w:after="20" w:before="1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65D"/>
                <w:sz w:val="48"/>
                <w:szCs w:val="48"/>
              </w:rPr>
              <w:t xml:space="preserve">185명</w:t>
            </w:r>
          </w:p>
          <w:p>
            <w:pPr>
              <w:spacing w:after="1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18096"/>
                <w:sz w:val="18"/>
                <w:szCs w:val="18"/>
              </w:rPr>
              <w:t xml:space="preserve">깍스쿨 교육 누적 참여</w:t>
            </w:r>
          </w:p>
        </w:tc>
        <w:tc>
          <w:tcPr>
            <w:tcW w:type="pct" w:w="25%"/>
            <w:tcBorders>
              <w:top w:val="single" w:color="E2E8F0" w:sz="1"/>
              <w:left w:val="single" w:color="1A365D" w:sz="18"/>
              <w:bottom w:val="single" w:color="E2E8F0" w:sz="1"/>
              <w:right w:val="single" w:color="E2E8F0" w:sz="1"/>
            </w:tcBorders>
            <w:shd w:fill="EBF1F8" w:val="clear"/>
          </w:tcPr>
          <w:p>
            <w:pPr>
              <w:spacing w:after="20" w:before="1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65D"/>
                <w:sz w:val="48"/>
                <w:szCs w:val="48"/>
              </w:rPr>
              <w:t xml:space="preserve">+610%</w:t>
            </w:r>
          </w:p>
          <w:p>
            <w:pPr>
              <w:spacing w:after="1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18096"/>
                <w:sz w:val="18"/>
                <w:szCs w:val="18"/>
              </w:rPr>
              <w:t xml:space="preserve">소상공인 협업 (20→142회)</w:t>
            </w:r>
          </w:p>
        </w:tc>
      </w:tr>
    </w:tbl>
    <w:p>
      <w:pPr>
        <w:spacing w:after="10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p>
      <w:pPr>
        <w:pBdr>
          <w:bottom w:val="single" w:color="1A365D" w:sz="6"/>
        </w:pBdr>
        <w:spacing w:after="120" w:before="200" w:line="360"/>
      </w:pPr>
      <w:r>
        <w:rPr>
          <w:rFonts w:ascii="맑은 고딕" w:cs="맑은 고딕" w:eastAsia="맑은 고딕" w:hAnsi="맑은 고딕"/>
          <w:b/>
          <w:bCs/>
          <w:color w:val="1A365D"/>
          <w:sz w:val="28"/>
          <w:szCs w:val="28"/>
        </w:rPr>
        <w:t xml:space="preserve">1. 개요</w:t>
      </w:r>
    </w:p>
    <w:p>
      <w:pPr>
        <w:spacing w:after="1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2024년이 인재 발굴과 교육을 통해 상권의 기초 체력을 다지는 </w:t>
      </w: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'기반 조성'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 단계였다면, 2025년은 축적된 역량을 바탕으로 킬러 콘텐츠를 생산하고 이를 온·오프라인으로 확산시키는 </w:t>
      </w: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'콘텐츠 확산 및 글로컬화'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 단계로 진화하였음.</w:t>
      </w:r>
    </w:p>
    <w:p>
      <w:pPr>
        <w:pBdr>
          <w:bottom w:val="single" w:color="1A365D" w:sz="6"/>
        </w:pBdr>
        <w:spacing w:after="120" w:before="200" w:line="360"/>
      </w:pPr>
      <w:r>
        <w:rPr>
          <w:rFonts w:ascii="맑은 고딕" w:cs="맑은 고딕" w:eastAsia="맑은 고딕" w:hAnsi="맑은 고딕"/>
          <w:b/>
          <w:bCs/>
          <w:color w:val="1A365D"/>
          <w:sz w:val="28"/>
          <w:szCs w:val="28"/>
        </w:rPr>
        <w:t xml:space="preserve">2. 연차별 핵심 성과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pct" w:w="3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2024년 (기반 조성)</w:t>
            </w:r>
          </w:p>
        </w:tc>
        <w:tc>
          <w:tcPr>
            <w:tcW w:type="pct" w:w="3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2025년 (성과 확산)</w:t>
            </w:r>
          </w:p>
        </w:tc>
        <w:tc>
          <w:tcPr>
            <w:tcW w:type="pct" w:w="15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pct" w:w="1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핵심 목표</w:t>
            </w:r>
          </w:p>
        </w:tc>
        <w:tc>
          <w:tcPr>
            <w:tcW w:type="pct" w:w="3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로컬 인재 발굴 및 기초 역량 강화</w:t>
            </w:r>
          </w:p>
        </w:tc>
        <w:tc>
          <w:tcPr>
            <w:tcW w:type="pct" w:w="3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콘텐츠 큐레이션 및 온라인 확산</w:t>
            </w:r>
          </w:p>
        </w:tc>
        <w:tc>
          <w:tcPr>
            <w:tcW w:type="pct" w:w="1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목표 고도화</w:t>
            </w:r>
          </w:p>
        </w:tc>
      </w:tr>
      <w:tr>
        <w:tc>
          <w:tcPr>
            <w:tcW w:type="pct" w:w="15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인재 발굴</w:t>
            </w:r>
          </w:p>
        </w:tc>
        <w:tc>
          <w:tcPr>
            <w:tcW w:type="pct" w:w="3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예비창업가 발굴, 장인학교 44명</w:t>
            </w:r>
          </w:p>
        </w:tc>
        <w:tc>
          <w:tcPr>
            <w:tcW w:type="pct" w:w="3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발굴 인재의 브랜드화 및 상권 안착 유도</w:t>
            </w:r>
          </w:p>
        </w:tc>
        <w:tc>
          <w:tcPr>
            <w:tcW w:type="pct" w:w="15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인재 DB 확보</w:t>
            </w:r>
          </w:p>
        </w:tc>
      </w:tr>
      <w:tr>
        <w:tc>
          <w:tcPr>
            <w:tcW w:type="pct" w:w="1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컨설팅</w:t>
            </w:r>
          </w:p>
        </w:tc>
        <w:tc>
          <w:tcPr>
            <w:tcW w:type="pct" w:w="3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139회 (외부 컨설턴트 의존)</w:t>
            </w:r>
          </w:p>
        </w:tc>
        <w:tc>
          <w:tcPr>
            <w:tcW w:type="pct" w:w="3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53회 (자체 역량 진행)</w:t>
            </w:r>
          </w:p>
        </w:tc>
        <w:tc>
          <w:tcPr>
            <w:tcW w:type="pct" w:w="1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역량 내재화</w:t>
            </w:r>
          </w:p>
        </w:tc>
      </w:tr>
      <w:tr>
        <w:tc>
          <w:tcPr>
            <w:tcW w:type="pct" w:w="15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소상공인 협업</w:t>
            </w:r>
          </w:p>
        </w:tc>
        <w:tc>
          <w:tcPr>
            <w:tcW w:type="pct" w:w="3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20회</w:t>
            </w:r>
          </w:p>
        </w:tc>
        <w:tc>
          <w:tcPr>
            <w:tcW w:type="pct" w:w="3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142회 (+610%)</w:t>
            </w:r>
          </w:p>
        </w:tc>
        <w:tc>
          <w:tcPr>
            <w:tcW w:type="pct" w:w="15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콘텐츠화</w:t>
            </w:r>
          </w:p>
        </w:tc>
      </w:tr>
      <w:tr>
        <w:tc>
          <w:tcPr>
            <w:tcW w:type="pct" w:w="1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국비 스케일업</w:t>
            </w:r>
          </w:p>
        </w:tc>
        <w:tc>
          <w:tcPr>
            <w:tcW w:type="pct" w:w="3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신사업창업사관학교, 로컬크리에이터, 강한소상공인 3팀</w:t>
            </w:r>
          </w:p>
        </w:tc>
        <w:tc>
          <w:tcPr>
            <w:tcW w:type="pct" w:w="3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로컬크리에이터 1팀, 강한소상공인 3팀 (비예산/전국 경쟁)</w:t>
            </w:r>
          </w:p>
        </w:tc>
        <w:tc>
          <w:tcPr>
            <w:tcW w:type="pct" w:w="1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자생적 스케일업</w:t>
            </w:r>
          </w:p>
        </w:tc>
      </w:tr>
      <w:tr>
        <w:tc>
          <w:tcPr>
            <w:tcW w:type="pct" w:w="15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전국 확산</w:t>
            </w:r>
          </w:p>
        </w:tc>
        <w:tc>
          <w:tcPr>
            <w:tcW w:type="pct" w:w="3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로컬크리에이터 × 소상공인 협업 시작</w:t>
            </w:r>
          </w:p>
        </w:tc>
        <w:tc>
          <w:tcPr>
            <w:tcW w:type="pct" w:w="3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글로컬페스타 54팀, 팝업 23건(54업체)</w:t>
            </w:r>
          </w:p>
        </w:tc>
        <w:tc>
          <w:tcPr>
            <w:tcW w:type="pct" w:w="15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전국화</w:t>
            </w:r>
          </w:p>
        </w:tc>
      </w:tr>
    </w:tbl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p>
      <w:pPr>
        <w:pBdr>
          <w:bottom w:val="single" w:color="1A365D" w:sz="6"/>
        </w:pBdr>
        <w:spacing w:after="120" w:before="200" w:line="360"/>
      </w:pPr>
      <w:r>
        <w:rPr>
          <w:rFonts w:ascii="맑은 고딕" w:cs="맑은 고딕" w:eastAsia="맑은 고딕" w:hAnsi="맑은 고딕"/>
          <w:b/>
          <w:bCs/>
          <w:color w:val="1A365D"/>
          <w:sz w:val="28"/>
          <w:szCs w:val="28"/>
        </w:rPr>
        <w:t xml:space="preserve">3. 정량 성과</w:t>
      </w:r>
    </w:p>
    <w:p>
      <w:pPr>
        <w:spacing w:after="100" w:before="200" w:line="36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가. 외국인 관광 — 질적 전환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2023년 (사업 전)</w:t>
            </w:r>
          </w:p>
        </w:tc>
        <w:tc>
          <w:tcPr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2024년</w:t>
            </w:r>
          </w:p>
        </w:tc>
        <w:tc>
          <w:tcPr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2025년 (10월)</w:t>
            </w:r>
          </w:p>
        </w:tc>
        <w:tc>
          <w:tcPr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변화율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외국인 방문객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15만 명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21만 명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21만 명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8B57"/>
                <w:sz w:val="20"/>
                <w:szCs w:val="20"/>
              </w:rPr>
              <w:t xml:space="preserve">+40%</w:t>
            </w:r>
          </w:p>
        </w:tc>
      </w:tr>
      <w:tr>
        <w:tc>
          <w:tcPr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외국인 관광 총소비</w:t>
            </w:r>
          </w:p>
        </w:tc>
        <w:tc>
          <w:tcPr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14억 원</w:t>
            </w:r>
          </w:p>
        </w:tc>
        <w:tc>
          <w:tcPr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24억 원</w:t>
            </w:r>
          </w:p>
        </w:tc>
        <w:tc>
          <w:tcPr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29억 원</w:t>
            </w:r>
          </w:p>
        </w:tc>
        <w:tc>
          <w:tcPr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8B57"/>
                <w:sz w:val="20"/>
                <w:szCs w:val="20"/>
              </w:rPr>
              <w:t xml:space="preserve">+107.1%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1인당 소비액(ARPU)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9,333원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11,429원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13,810원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8B57"/>
                <w:sz w:val="20"/>
                <w:szCs w:val="20"/>
              </w:rPr>
              <w:t xml:space="preserve">+48%</w:t>
            </w:r>
          </w:p>
        </w:tc>
      </w:tr>
    </w:tbl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방문객 증가율(+40%) 대비 총소비액 증가(</w:t>
      </w:r>
      <w:r>
        <w:rPr>
          <w:rFonts w:ascii="맑은 고딕" w:cs="맑은 고딕" w:eastAsia="맑은 고딕" w:hAnsi="맑은 고딕"/>
          <w:b/>
          <w:bCs/>
          <w:color w:val="2E8B57"/>
          <w:sz w:val="22"/>
          <w:szCs w:val="22"/>
        </w:rPr>
        <w:t xml:space="preserve">+107.1%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)가 월등히 높아, 고부가가치 관광지로의 전환 성과 가시화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외국인 1인당 소비액 지속 증가 → 관광의 질적 성장 확인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p>
      <w:pPr>
        <w:spacing w:after="100" w:before="200" w:line="36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나. 경쟁 지역 비교 — 외국인 방문객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지역</w:t>
            </w:r>
          </w:p>
        </w:tc>
        <w:tc>
          <w:tcPr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2023년</w:t>
            </w:r>
          </w:p>
        </w:tc>
        <w:tc>
          <w:tcPr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2024년</w:t>
            </w:r>
          </w:p>
        </w:tc>
        <w:tc>
          <w:tcPr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2025년 (~10월)</w:t>
            </w:r>
          </w:p>
        </w:tc>
      </w:tr>
      <w:tr>
        <w:tc>
          <w:tcPr>
            <w:shd w:fill="EBF1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20"/>
                <w:szCs w:val="20"/>
              </w:rPr>
              <w:t xml:space="preserve">수원 행궁동</w:t>
            </w:r>
          </w:p>
        </w:tc>
        <w:tc>
          <w:tcPr>
            <w:shd w:fill="EBF1F8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20"/>
                <w:szCs w:val="20"/>
              </w:rPr>
              <w:t xml:space="preserve">15만 명</w:t>
            </w:r>
          </w:p>
        </w:tc>
        <w:tc>
          <w:tcPr>
            <w:shd w:fill="EBF1F8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20"/>
                <w:szCs w:val="20"/>
              </w:rPr>
              <w:t xml:space="preserve">21만 명</w:t>
            </w:r>
          </w:p>
        </w:tc>
        <w:tc>
          <w:tcPr>
            <w:shd w:fill="EBF1F8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20"/>
                <w:szCs w:val="20"/>
              </w:rPr>
              <w:t xml:space="preserve">21만 명</w:t>
            </w:r>
          </w:p>
        </w:tc>
      </w:tr>
      <w:tr>
        <w:tc>
          <w:tcPr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경주 황남동</w:t>
            </w:r>
          </w:p>
        </w:tc>
        <w:tc>
          <w:tcPr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20만 명</w:t>
            </w:r>
          </w:p>
        </w:tc>
        <w:tc>
          <w:tcPr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29만 명</w:t>
            </w:r>
          </w:p>
        </w:tc>
        <w:tc>
          <w:tcPr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27만 명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전주 풍남동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16만 명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16만 명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14만 명</w:t>
            </w:r>
          </w:p>
        </w:tc>
      </w:tr>
    </w:tbl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2024년: 전주 한옥마을 방문객 수 역전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2025년: 경주 황리단길의 성장 속도(전년 실적 달성률) 추월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p>
      <w:pPr>
        <w:spacing w:after="80" w:before="160" w:line="360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외국인 관광소비액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지역</w:t>
            </w:r>
          </w:p>
        </w:tc>
        <w:tc>
          <w:tcPr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2023년</w:t>
            </w:r>
          </w:p>
        </w:tc>
        <w:tc>
          <w:tcPr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2024년</w:t>
            </w:r>
          </w:p>
        </w:tc>
        <w:tc>
          <w:tcPr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2025년 (~10월)</w:t>
            </w:r>
          </w:p>
        </w:tc>
        <w:tc>
          <w:tcPr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성장률</w:t>
            </w:r>
          </w:p>
        </w:tc>
      </w:tr>
      <w:tr>
        <w:tc>
          <w:tcPr>
            <w:shd w:fill="EBF1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20"/>
                <w:szCs w:val="20"/>
              </w:rPr>
              <w:t xml:space="preserve">수원 행궁동</w:t>
            </w:r>
          </w:p>
        </w:tc>
        <w:tc>
          <w:tcPr>
            <w:shd w:fill="EBF1F8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20"/>
                <w:szCs w:val="20"/>
              </w:rPr>
              <w:t xml:space="preserve">14억 원</w:t>
            </w:r>
          </w:p>
        </w:tc>
        <w:tc>
          <w:tcPr>
            <w:shd w:fill="EBF1F8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20"/>
                <w:szCs w:val="20"/>
              </w:rPr>
              <w:t xml:space="preserve">24억 원</w:t>
            </w:r>
          </w:p>
        </w:tc>
        <w:tc>
          <w:tcPr>
            <w:shd w:fill="EBF1F8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20"/>
                <w:szCs w:val="20"/>
              </w:rPr>
              <w:t xml:space="preserve">29억 원</w:t>
            </w:r>
          </w:p>
        </w:tc>
        <w:tc>
          <w:tcPr>
            <w:shd w:fill="EBF1F8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8B57"/>
                <w:sz w:val="20"/>
                <w:szCs w:val="20"/>
              </w:rPr>
              <w:t xml:space="preserve">+107%</w:t>
            </w:r>
          </w:p>
        </w:tc>
      </w:tr>
      <w:tr>
        <w:tc>
          <w:tcPr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경주 황남동</w:t>
            </w:r>
          </w:p>
        </w:tc>
        <w:tc>
          <w:tcPr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27억 원</w:t>
            </w:r>
          </w:p>
        </w:tc>
        <w:tc>
          <w:tcPr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46억 원</w:t>
            </w:r>
          </w:p>
        </w:tc>
        <w:tc>
          <w:tcPr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57억 원</w:t>
            </w:r>
          </w:p>
        </w:tc>
        <w:tc>
          <w:tcPr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8B57"/>
                <w:sz w:val="20"/>
                <w:szCs w:val="20"/>
              </w:rPr>
              <w:t xml:space="preserve">+111%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전주 풍남동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32억 원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35억 원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38억 원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8B57"/>
                <w:sz w:val="20"/>
                <w:szCs w:val="20"/>
              </w:rPr>
              <w:t xml:space="preserve">+19%</w:t>
            </w:r>
          </w:p>
        </w:tc>
      </w:tr>
    </w:tbl>
    <w:p>
      <w:pPr>
        <w:spacing w:after="120" w:before="0" w:line="360"/>
        <w:jc w:val="right"/>
      </w:pPr>
      <w:r>
        <w:rPr>
          <w:rFonts w:ascii="맑은 고딕" w:cs="맑은 고딕" w:eastAsia="맑은 고딕" w:hAnsi="맑은 고딕"/>
          <w:b w:val="false"/>
          <w:bCs w:val="false"/>
          <w:color w:val="718096"/>
          <w:sz w:val="18"/>
          <w:szCs w:val="18"/>
        </w:rPr>
        <w:t xml:space="preserve">출처: 한국관광데이터랩 (2025.10 기준)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p>
      <w:pPr>
        <w:spacing w:after="100" w:before="200" w:line="36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다. 내국인 방문객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내국인 방문객</w:t>
            </w:r>
          </w:p>
        </w:tc>
        <w:tc>
          <w:tcPr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전년 대비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2023년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1,610만 명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2024년</w:t>
            </w:r>
          </w:p>
        </w:tc>
        <w:tc>
          <w:tcPr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1,690만 명</w:t>
            </w:r>
          </w:p>
        </w:tc>
        <w:tc>
          <w:tcPr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+4.9%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2025년 (10월 누적)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1,470만 명</w:t>
            </w:r>
          </w:p>
        </w:tc>
        <w:tc>
          <w:tcPr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연말 기준 성장세 지속 전망</w:t>
            </w:r>
          </w:p>
        </w:tc>
      </w:tr>
    </w:tbl>
    <w:p>
      <w:pPr>
        <w:pBdr>
          <w:bottom w:val="single" w:color="1A365D" w:sz="6"/>
        </w:pBdr>
        <w:spacing w:after="120" w:before="200" w:line="360"/>
      </w:pPr>
      <w:r>
        <w:rPr>
          <w:rFonts w:ascii="맑은 고딕" w:cs="맑은 고딕" w:eastAsia="맑은 고딕" w:hAnsi="맑은 고딕"/>
          <w:b/>
          <w:bCs/>
          <w:color w:val="1A365D"/>
          <w:sz w:val="28"/>
          <w:szCs w:val="28"/>
        </w:rPr>
        <w:t xml:space="preserve">4. '온라인 간판' 만들기 — 글로벌 디지털 접근성 구축</w:t>
      </w:r>
    </w:p>
    <w:p>
      <w:pPr>
        <w:spacing w:after="100" w:before="200" w:line="36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가. 문제 인식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1A365D" w:sz="18"/>
              <w:bottom w:val="single" w:color="E2E8F0" w:sz="1"/>
              <w:right w:val="single" w:color="E2E8F0" w:sz="1"/>
            </w:tcBorders>
            <w:shd w:fill="EBF1F8" w:val="clear"/>
          </w:tcPr>
          <w:p>
            <w:pPr>
              <w:spacing w:after="160" w:before="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2"/>
                <w:szCs w:val="22"/>
              </w:rPr>
              <w:t xml:space="preserve">국내 소상공인은 네이버 스마트플레이스에는 정보가 비교적 잘 등록되어 있으나, 외국인이 주로 이용하는 구글맵, 트립어드바이저, 샤오홍슈 등 글로벌 플랫폼에는 상호명만 등록되어 있고 상세 정보(메뉴, 영업시간, 사진, 리뷰 등)가 부실한 상황이었음. 이로 인해 외국인 관광객의 신뢰도가 떨어지고, 오프라인 상권의 매력이 온라인에서 발견되지 못하는 구조적 단절이 존재하였음.</w:t>
            </w:r>
          </w:p>
        </w:tc>
      </w:tr>
    </w:tbl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p>
      <w:pPr>
        <w:spacing w:after="100" w:before="200" w:line="36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나. 추진 내용</w:t>
      </w:r>
    </w:p>
    <w:p>
      <w:pPr>
        <w:spacing w:after="1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공존공간은 이 문제를 '온라인 간판 만들기'로 명명하고, 교육·컨설팅·등록 지원을 통합 추진하였음.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pct" w:w="8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pct" w:w="2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교육</w:t>
            </w:r>
          </w:p>
        </w:tc>
        <w:tc>
          <w:tcPr>
            <w:tcW w:type="pct" w:w="8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'깍스쿨' 10회차(2025.02.24) — '온라인 간판' 만들기 (구글맵, 트립어드바이저 등록)</w:t>
            </w:r>
          </w:p>
        </w:tc>
      </w:tr>
      <w:tr>
        <w:tc>
          <w:tcPr>
            <w:tcW w:type="pct" w:w="2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1:1 컨설팅</w:t>
            </w:r>
          </w:p>
        </w:tc>
        <w:tc>
          <w:tcPr>
            <w:tcW w:type="pct" w:w="8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디지털 전환 컨설팅 3회차(2025.01.15~17) — 개별 매장 맞춤 등록 지원</w:t>
            </w:r>
          </w:p>
        </w:tc>
      </w:tr>
      <w:tr>
        <w:tc>
          <w:tcPr>
            <w:tcW w:type="pct" w:w="2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등록 대행</w:t>
            </w:r>
          </w:p>
        </w:tc>
        <w:tc>
          <w:tcPr>
            <w:tcW w:type="pct" w:w="8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네이버 스마트플레이스, 구글맵, 트립어드바이저 등 주요 플랫폼 점포 정보 등록</w:t>
            </w:r>
          </w:p>
        </w:tc>
      </w:tr>
      <w:tr>
        <w:tc>
          <w:tcPr>
            <w:tcW w:type="pct" w:w="2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검색 최적화</w:t>
            </w:r>
          </w:p>
        </w:tc>
        <w:tc>
          <w:tcPr>
            <w:tcW w:type="pct" w:w="8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SEO 키워드 설정, 대표 이미지 개선, 다국어 정보 입력</w:t>
            </w:r>
          </w:p>
        </w:tc>
      </w:tr>
    </w:tbl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p>
      <w:pPr>
        <w:spacing w:after="100" w:before="200" w:line="36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다. 추진 성과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행궁동 상권 내 점포의 글로벌 플랫폼(구글맵, 트립어드바이저) 정보 등록 및 간판 세팅 완료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등록 후 실제 다수 점포에서 방문자 수 및 리뷰 수 증가 등 긍정적 반응 확인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오프라인 환대 경험과 온라인 노출을 연결하는 상권 경쟁력 강화 기반 마련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빠르고 직관적인 설명 → 소상공인이 즉시 실행 가능한 결과물 확보 → 높은 만족도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p>
      <w:pPr>
        <w:spacing w:after="100" w:before="200" w:line="36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라. 의의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718096"/>
          <w:sz w:val="22"/>
          <w:szCs w:val="22"/>
        </w:rPr>
        <w:t xml:space="preserve">네이버에만 등록된 점포 = </w:t>
      </w:r>
      <w:r>
        <w:rPr>
          <w:rFonts w:ascii="맑은 고딕" w:cs="맑은 고딕" w:eastAsia="맑은 고딕" w:hAnsi="맑은 고딕"/>
          <w:b/>
          <w:bCs/>
          <w:color w:val="718096"/>
          <w:sz w:val="22"/>
          <w:szCs w:val="22"/>
        </w:rPr>
        <w:t xml:space="preserve">내국인만 발견 가능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E8B57"/>
          <w:sz w:val="22"/>
          <w:szCs w:val="22"/>
        </w:rPr>
        <w:t xml:space="preserve">구글맵·트립어드바이저에 등록된 점포 = </w:t>
      </w:r>
      <w:r>
        <w:rPr>
          <w:rFonts w:ascii="맑은 고딕" w:cs="맑은 고딕" w:eastAsia="맑은 고딕" w:hAnsi="맑은 고딕"/>
          <w:b/>
          <w:bCs/>
          <w:color w:val="2E8B57"/>
          <w:sz w:val="22"/>
          <w:szCs w:val="22"/>
        </w:rPr>
        <w:t xml:space="preserve">전 세계 관광객이 발견 가능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외국인 소비액 </w:t>
      </w:r>
      <w:r>
        <w:rPr>
          <w:rFonts w:ascii="맑은 고딕" w:cs="맑은 고딕" w:eastAsia="맑은 고딕" w:hAnsi="맑은 고딕"/>
          <w:b/>
          <w:bCs/>
          <w:color w:val="2E8B57"/>
          <w:sz w:val="22"/>
          <w:szCs w:val="22"/>
        </w:rPr>
        <w:t xml:space="preserve">+107%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 성장의 디지털 인프라 기반 중 하나로 기능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p>
      <w:pPr>
        <w:spacing w:after="100" w:before="200" w:line="36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마. 향후 계획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이번 컨설팅에서 시도한 플랫폼 등록을 상권 내 전 상점으로 확대 적용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온라인 매뉴얼 제작 및 연계 사업 계획 수립 필요</w:t>
      </w:r>
    </w:p>
    <w:p>
      <w:pPr>
        <w:pBdr>
          <w:bottom w:val="single" w:color="1A365D" w:sz="6"/>
        </w:pBdr>
        <w:spacing w:after="120" w:before="200" w:line="360"/>
      </w:pPr>
      <w:r>
        <w:rPr>
          <w:rFonts w:ascii="맑은 고딕" w:cs="맑은 고딕" w:eastAsia="맑은 고딕" w:hAnsi="맑은 고딕"/>
          <w:b/>
          <w:bCs/>
          <w:color w:val="1A365D"/>
          <w:sz w:val="28"/>
          <w:szCs w:val="28"/>
        </w:rPr>
        <w:t xml:space="preserve">5. 환대지수(Hospitality Index) 및 미스터리 쇼퍼 운영</w:t>
      </w:r>
    </w:p>
    <w:p>
      <w:pPr>
        <w:spacing w:after="100" w:before="200" w:line="36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가. 추진 내용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행궁동 상권 특성에 적합한 자체 평가 지표 '환대의 인덱스' 개발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평가 항목: 내부환경, 서비스 태도, 고객응대 인프라 등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미스터리 쇼퍼 → 컨설팅·교육 → 인스펙터(사후점검)로 이어지는 통합 솔루션 체계 구축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8%"/>
            <w:shd w:fill="1A365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미스터리 쇼퍼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FFFFFF"/>
                <w:sz w:val="16"/>
                <w:szCs w:val="16"/>
              </w:rPr>
              <w:t xml:space="preserve">
(사전 평가)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8"/>
                <w:szCs w:val="28"/>
              </w:rPr>
              <w:t xml:space="preserve">→</w:t>
            </w:r>
          </w:p>
        </w:tc>
        <w:tc>
          <w:tcPr>
            <w:tcW w:type="pct" w:w="28%"/>
            <w:shd w:fill="4A6FA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컨설팅·교육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FFFFFF"/>
                <w:sz w:val="16"/>
                <w:szCs w:val="16"/>
              </w:rPr>
              <w:t xml:space="preserve">
(개선)</w:t>
            </w:r>
          </w:p>
        </w:tc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6FA5"/>
                <w:sz w:val="28"/>
                <w:szCs w:val="28"/>
              </w:rPr>
              <w:t xml:space="preserve">→</w:t>
            </w:r>
          </w:p>
        </w:tc>
        <w:tc>
          <w:tcPr>
            <w:tcW w:type="pct" w:w="28%"/>
            <w:shd w:fill="2E8B5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인스펙터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FFFFFF"/>
                <w:sz w:val="16"/>
                <w:szCs w:val="16"/>
              </w:rPr>
              <w:t xml:space="preserve">
(사후 점검)</w:t>
            </w:r>
          </w:p>
        </w:tc>
      </w:tr>
    </w:tbl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p>
      <w:pPr>
        <w:spacing w:after="100" w:before="200" w:line="36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나. 추진 성과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pct" w:w="7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실적</w:t>
            </w:r>
          </w:p>
        </w:tc>
      </w:tr>
      <w:tr>
        <w:tc>
          <w:tcPr>
            <w:tcW w:type="pct" w:w="3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미스터리 쇼퍼 대상</w:t>
            </w:r>
          </w:p>
        </w:tc>
        <w:tc>
          <w:tcPr>
            <w:tcW w:type="pct" w:w="7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행궁동 상권 내 100개 점포</w:t>
            </w:r>
          </w:p>
        </w:tc>
      </w:tr>
      <w:tr>
        <w:tc>
          <w:tcPr>
            <w:tcW w:type="pct" w:w="30%"/>
            <w:shd w:fill="EBF1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20"/>
                <w:szCs w:val="20"/>
              </w:rPr>
              <w:t xml:space="preserve">환대 점수 변화</w:t>
            </w:r>
          </w:p>
        </w:tc>
        <w:tc>
          <w:tcPr>
            <w:tcW w:type="pct" w:w="70%"/>
            <w:shd w:fill="EBF1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20"/>
                <w:szCs w:val="20"/>
              </w:rPr>
              <w:t xml:space="preserve">64점 → 89점 (약 +39% 향상)</w:t>
            </w:r>
          </w:p>
        </w:tc>
      </w:tr>
      <w:tr>
        <w:tc>
          <w:tcPr>
            <w:tcW w:type="pct" w:w="3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사전·사후 평가</w:t>
            </w:r>
          </w:p>
        </w:tc>
        <w:tc>
          <w:tcPr>
            <w:tcW w:type="pct" w:w="7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미스터리 쇼퍼(사전) + 인스펙터(사후) 체계 구축 완료</w:t>
            </w:r>
          </w:p>
        </w:tc>
      </w:tr>
      <w:tr>
        <w:tc>
          <w:tcPr>
            <w:tcW w:type="pct" w:w="3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온라인 간판 연계</w:t>
            </w:r>
          </w:p>
        </w:tc>
        <w:tc>
          <w:tcPr>
            <w:tcW w:type="pct" w:w="7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구글맵·트립어드바이저 등록 동시 진행</w:t>
            </w:r>
          </w:p>
        </w:tc>
      </w:tr>
    </w:tbl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p>
      <w:pPr>
        <w:spacing w:after="100" w:before="200" w:line="36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다. 의의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기존 주관적 평가에서 벗어나, 점포별 환대 수준을 수치화·비교 가능한 체계 마련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미스터리 쇼퍼-컨설팅-인스펙터 선순환 구조 → 타 지역 확장 가능 모델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사후 피드백을 통한 반복 개선 → 점포 운영자 높은 만족도와 신뢰도 확보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p>
      <w:pPr>
        <w:spacing w:after="100" w:before="200" w:line="36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라. 향후 계획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환대의 인덱스 고도화 (외국인 방문객, 다양한 연령층 반영한 다층적 분석)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연 1~2회 정기 점검 정례화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상권관리 거버넌스의 일원으로 인스펙터 시스템 포지셔닝</w:t>
      </w:r>
    </w:p>
    <w:p>
      <w:pPr>
        <w:pBdr>
          <w:bottom w:val="single" w:color="1A365D" w:sz="6"/>
        </w:pBdr>
        <w:spacing w:after="120" w:before="200" w:line="360"/>
      </w:pPr>
      <w:r>
        <w:rPr>
          <w:rFonts w:ascii="맑은 고딕" w:cs="맑은 고딕" w:eastAsia="맑은 고딕" w:hAnsi="맑은 고딕"/>
          <w:b/>
          <w:bCs/>
          <w:color w:val="1A365D"/>
          <w:sz w:val="28"/>
          <w:szCs w:val="28"/>
        </w:rPr>
        <w:t xml:space="preserve">6. 글로컬 상권 연계 축제 운영 — 깍페스티벌</w:t>
      </w:r>
    </w:p>
    <w:p>
      <w:pPr>
        <w:spacing w:after="100" w:before="200" w:line="36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가. 추진 내용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깍페스티벌(上, 下) 2회 개최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롯데 웰푸드 브랜드 협업 → '남문 깍페스티벌' 운영 (비예산)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콜라보 팝업스토어 23건 운영 (54개 업체 참여)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체류형 러닝 프로그램 연계 운영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기부팝업 운영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p>
      <w:pPr>
        <w:spacing w:after="100" w:before="200" w:line="36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나. 추진 성과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pct" w:w="7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실적</w:t>
            </w:r>
          </w:p>
        </w:tc>
      </w:tr>
      <w:tr>
        <w:tc>
          <w:tcPr>
            <w:tcW w:type="pct" w:w="3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축제 운영</w:t>
            </w:r>
          </w:p>
        </w:tc>
        <w:tc>
          <w:tcPr>
            <w:tcW w:type="pct" w:w="7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깍페스티벌(上, 下) 2회</w:t>
            </w:r>
          </w:p>
        </w:tc>
      </w:tr>
      <w:tr>
        <w:tc>
          <w:tcPr>
            <w:tcW w:type="pct" w:w="3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콜라보 팝업스토어</w:t>
            </w:r>
          </w:p>
        </w:tc>
        <w:tc>
          <w:tcPr>
            <w:tcW w:type="pct" w:w="7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23건 / 54개 업체 참여</w:t>
            </w:r>
          </w:p>
        </w:tc>
      </w:tr>
      <w:tr>
        <w:tc>
          <w:tcPr>
            <w:tcW w:type="pct" w:w="3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환대의 패키지 배포</w:t>
            </w:r>
          </w:p>
        </w:tc>
        <w:tc>
          <w:tcPr>
            <w:tcW w:type="pct" w:w="7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691건 (아이템 11종, 패키지 5종)</w:t>
            </w:r>
          </w:p>
        </w:tc>
      </w:tr>
      <w:tr>
        <w:tc>
          <w:tcPr>
            <w:tcW w:type="pct" w:w="3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대기업 비예산 협업</w:t>
            </w:r>
          </w:p>
        </w:tc>
        <w:tc>
          <w:tcPr>
            <w:tcW w:type="pct" w:w="7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롯데 웰푸드, 오뚜기(진행 중)</w:t>
            </w:r>
          </w:p>
        </w:tc>
      </w:tr>
    </w:tbl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p>
      <w:pPr>
        <w:spacing w:after="100" w:before="200" w:line="36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다. 환대의 패키지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아이템 11종: 티셔츠, 스티커 3종, 깍 와팬, 수원 키링, 고수원 QR 아크릴 스탠드, 통닭 키링, 종이꽃, 전통매듭 팔찌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패키지 5종: 내빈용, 락성연 1·2일차 사전 참여자용, 기부팝업 참여자용, 참여 소상공인용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다국어 인사말 디자인 제작 — 외국인 관광객 환대 문화 정착 기반</w:t>
      </w:r>
    </w:p>
    <w:p>
      <w:pPr>
        <w:pBdr>
          <w:bottom w:val="single" w:color="1A365D" w:sz="6"/>
        </w:pBdr>
        <w:spacing w:after="120" w:before="200" w:line="360"/>
      </w:pPr>
      <w:r>
        <w:rPr>
          <w:rFonts w:ascii="맑은 고딕" w:cs="맑은 고딕" w:eastAsia="맑은 고딕" w:hAnsi="맑은 고딕"/>
          <w:b/>
          <w:bCs/>
          <w:color w:val="1A365D"/>
          <w:sz w:val="28"/>
          <w:szCs w:val="28"/>
        </w:rPr>
        <w:t xml:space="preserve">7. 콘텐츠 제작 및 디지털 확산</w:t>
      </w:r>
    </w:p>
    <w:p>
      <w:pPr>
        <w:spacing w:after="100" w:before="200" w:line="36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가. GoSuwon 홈페이지 고도화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2024년</w:t>
            </w:r>
          </w:p>
        </w:tc>
        <w:tc>
          <w:tcPr>
            <w:tcW w:type="pct" w:w="5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2025년</w:t>
            </w:r>
          </w:p>
        </w:tc>
      </w:tr>
      <w:tr>
        <w:tc>
          <w:tcPr>
            <w:tcW w:type="pct" w:w="5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콘텐츠 아카이빙 용도</w:t>
            </w:r>
          </w:p>
        </w:tc>
        <w:tc>
          <w:tcPr>
            <w:tcW w:type="pct" w:w="5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글로벌 플랫폼으로 전환</w:t>
            </w:r>
          </w:p>
        </w:tc>
      </w:tr>
      <w:tr>
        <w:tc>
          <w:tcPr>
            <w:tcW w:type="pct" w:w="5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영문 콘텐츠 제공 불가</w:t>
            </w:r>
          </w:p>
        </w:tc>
        <w:tc>
          <w:tcPr>
            <w:tcW w:type="pct" w:w="5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다국어 번역 기능 추가</w:t>
            </w:r>
          </w:p>
        </w:tc>
      </w:tr>
      <w:tr>
        <w:tc>
          <w:tcPr>
            <w:tcW w:type="pct" w:w="5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검색 노출 불가</w:t>
            </w:r>
          </w:p>
        </w:tc>
        <w:tc>
          <w:tcPr>
            <w:tcW w:type="pct" w:w="5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SEO 검색 최적화 추가</w:t>
            </w:r>
          </w:p>
        </w:tc>
      </w:tr>
      <w:tr>
        <w:tc>
          <w:tcPr>
            <w:tcW w:type="pct" w:w="5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구글맵 연동 불안정</w:t>
            </w:r>
          </w:p>
        </w:tc>
        <w:tc>
          <w:tcPr>
            <w:tcW w:type="pct" w:w="5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구글맵 연동 안정화</w:t>
            </w:r>
          </w:p>
        </w:tc>
      </w:tr>
      <w:tr>
        <w:tc>
          <w:tcPr>
            <w:tcW w:type="pct" w:w="5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-</w:t>
            </w:r>
          </w:p>
        </w:tc>
        <w:tc>
          <w:tcPr>
            <w:tcW w:type="pct" w:w="5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GPS 개인화, 색각이상자 지원, SNS 노출, PDF 다운로드 추가</w:t>
            </w:r>
          </w:p>
        </w:tc>
      </w:tr>
    </w:tbl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p>
      <w:pPr>
        <w:spacing w:after="100" w:before="200" w:line="36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나. 4개국어 SNS 채널 운영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pct" w:w="2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콘텐츠 수</w:t>
            </w:r>
          </w:p>
        </w:tc>
        <w:tc>
          <w:tcPr>
            <w:tcW w:type="pct" w:w="4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노출 수</w:t>
            </w:r>
          </w:p>
        </w:tc>
      </w:tr>
      <w:tr>
        <w:tc>
          <w:tcPr>
            <w:tcW w:type="pct" w:w="4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@gosuwon.kr (한국어)</w:t>
            </w:r>
          </w:p>
        </w:tc>
        <w:tc>
          <w:tcPr>
            <w:tcW w:type="pct" w:w="20%"/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12개</w:t>
            </w:r>
          </w:p>
        </w:tc>
        <w:tc>
          <w:tcPr>
            <w:tcW w:type="pct" w:w="40%"/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166,736건</w:t>
            </w:r>
          </w:p>
        </w:tc>
      </w:tr>
      <w:tr>
        <w:tc>
          <w:tcPr>
            <w:tcW w:type="pct" w:w="4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@gosuwon.en (영어)</w:t>
            </w:r>
          </w:p>
        </w:tc>
        <w:tc>
          <w:tcPr>
            <w:tcW w:type="pct" w:w="20%"/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12개</w:t>
            </w:r>
          </w:p>
        </w:tc>
        <w:tc>
          <w:tcPr>
            <w:tcW w:type="pct" w:w="40%"/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187,324건</w:t>
            </w:r>
          </w:p>
        </w:tc>
      </w:tr>
      <w:tr>
        <w:tc>
          <w:tcPr>
            <w:tcW w:type="pct" w:w="4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@gosuwon.jp (일본어)</w:t>
            </w:r>
          </w:p>
        </w:tc>
        <w:tc>
          <w:tcPr>
            <w:tcW w:type="pct" w:w="20%"/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8개</w:t>
            </w:r>
          </w:p>
        </w:tc>
        <w:tc>
          <w:tcPr>
            <w:tcW w:type="pct" w:w="40%"/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41,194건</w:t>
            </w:r>
          </w:p>
        </w:tc>
      </w:tr>
      <w:tr>
        <w:tc>
          <w:tcPr>
            <w:tcW w:type="pct" w:w="4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@gosuwon.tw (중국어)</w:t>
            </w:r>
          </w:p>
        </w:tc>
        <w:tc>
          <w:tcPr>
            <w:tcW w:type="pct" w:w="20%"/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11개</w:t>
            </w:r>
          </w:p>
        </w:tc>
        <w:tc>
          <w:tcPr>
            <w:tcW w:type="pct" w:w="40%"/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91,488건</w:t>
            </w:r>
          </w:p>
        </w:tc>
      </w:tr>
      <w:tr>
        <w:tc>
          <w:tcPr>
            <w:tcW w:type="pct" w:w="40%"/>
            <w:shd w:fill="1A365D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합계</w:t>
            </w:r>
          </w:p>
        </w:tc>
        <w:tc>
          <w:tcPr>
            <w:tcW w:type="pct" w:w="20%"/>
            <w:shd w:fill="1A365D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43개</w:t>
            </w:r>
          </w:p>
        </w:tc>
        <w:tc>
          <w:tcPr>
            <w:tcW w:type="pct" w:w="40%"/>
            <w:shd w:fill="1A365D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486,742건</w:t>
            </w:r>
          </w:p>
        </w:tc>
      </w:tr>
    </w:tbl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전체 콘텐츠 누적 노출 약 </w:t>
      </w:r>
      <w:r>
        <w:rPr>
          <w:rFonts w:ascii="맑은 고딕" w:cs="맑은 고딕" w:eastAsia="맑은 고딕" w:hAnsi="맑은 고딕"/>
          <w:b/>
          <w:bCs/>
          <w:color w:val="2E8B57"/>
          <w:sz w:val="22"/>
          <w:szCs w:val="22"/>
        </w:rPr>
        <w:t xml:space="preserve">89만 회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, 도달 66만 회, 팔로워 1,300여 명 확보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p>
      <w:pPr>
        <w:spacing w:after="100" w:before="200" w:line="36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다. 큐레이션 및 콘텐츠 자산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55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pct" w:w="45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실적</w:t>
            </w:r>
          </w:p>
        </w:tc>
      </w:tr>
      <w:tr>
        <w:tc>
          <w:tcPr>
            <w:tcW w:type="pct" w:w="5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로컬크리에이터 5인 협업 큐레이션 콘텐츠</w:t>
            </w:r>
          </w:p>
        </w:tc>
        <w:tc>
          <w:tcPr>
            <w:tcW w:type="pct" w:w="4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19개 발행</w:t>
            </w:r>
          </w:p>
        </w:tc>
      </w:tr>
      <w:tr>
        <w:tc>
          <w:tcPr>
            <w:tcW w:type="pct" w:w="55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인터뷰 콘텐츠 참여 업체</w:t>
            </w:r>
          </w:p>
        </w:tc>
        <w:tc>
          <w:tcPr>
            <w:tcW w:type="pct" w:w="45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11곳</w:t>
            </w:r>
          </w:p>
        </w:tc>
      </w:tr>
      <w:tr>
        <w:tc>
          <w:tcPr>
            <w:tcW w:type="pct" w:w="5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우수 점포 홍보 영상 (유튜브 PPK, 구독자 5.9만)</w:t>
            </w:r>
          </w:p>
        </w:tc>
        <w:tc>
          <w:tcPr>
            <w:tcW w:type="pct" w:w="4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10개 제작, 누적 조회 5,800회</w:t>
            </w:r>
          </w:p>
        </w:tc>
      </w:tr>
      <w:tr>
        <w:tc>
          <w:tcPr>
            <w:tcW w:type="pct" w:w="55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다국어 상권 지도</w:t>
            </w:r>
          </w:p>
        </w:tc>
        <w:tc>
          <w:tcPr>
            <w:tcW w:type="pct" w:w="45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4종 (드라마/맛집/무장애/축제)</w:t>
            </w:r>
          </w:p>
        </w:tc>
      </w:tr>
      <w:tr>
        <w:tc>
          <w:tcPr>
            <w:tcW w:type="pct" w:w="5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상권 뉴스레터 '로컬디인사이트'</w:t>
            </w:r>
          </w:p>
        </w:tc>
        <w:tc>
          <w:tcPr>
            <w:tcW w:type="pct" w:w="4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6회 발행</w:t>
            </w:r>
          </w:p>
        </w:tc>
      </w:tr>
      <w:tr>
        <w:tc>
          <w:tcPr>
            <w:tcW w:type="pct" w:w="55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로컬 인사이트 보고서</w:t>
            </w:r>
          </w:p>
        </w:tc>
        <w:tc>
          <w:tcPr>
            <w:tcW w:type="pct" w:w="45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2개 발행</w:t>
            </w:r>
          </w:p>
        </w:tc>
      </w:tr>
    </w:tbl>
    <w:p>
      <w:pPr>
        <w:pBdr>
          <w:bottom w:val="single" w:color="1A365D" w:sz="6"/>
        </w:pBdr>
        <w:spacing w:after="120" w:before="200" w:line="360"/>
      </w:pPr>
      <w:r>
        <w:rPr>
          <w:rFonts w:ascii="맑은 고딕" w:cs="맑은 고딕" w:eastAsia="맑은 고딕" w:hAnsi="맑은 고딕"/>
          <w:b/>
          <w:bCs/>
          <w:color w:val="1A365D"/>
          <w:sz w:val="28"/>
          <w:szCs w:val="28"/>
        </w:rPr>
        <w:t xml:space="preserve">8. 대기업·대학 협업 유치 (비예산)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파트너</w:t>
            </w:r>
          </w:p>
        </w:tc>
        <w:tc>
          <w:tcPr>
            <w:tcW w:type="pct" w:w="6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협업 내용</w:t>
            </w:r>
          </w:p>
        </w:tc>
        <w:tc>
          <w:tcPr>
            <w:tcW w:type="pct" w:w="2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pct" w:w="2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롯데 웰푸드</w:t>
            </w:r>
          </w:p>
        </w:tc>
        <w:tc>
          <w:tcPr>
            <w:tcW w:type="pct" w:w="6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'남문 깍페스티벌' 브랜드 협업, 상권 유입 인구 증대</w:t>
            </w:r>
          </w:p>
        </w:tc>
        <w:tc>
          <w:tcPr>
            <w:tcW w:type="pct" w:w="2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비예산</w:t>
            </w:r>
          </w:p>
        </w:tc>
      </w:tr>
      <w:tr>
        <w:tc>
          <w:tcPr>
            <w:tcW w:type="pct" w:w="2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오뚜기</w:t>
            </w:r>
          </w:p>
        </w:tc>
        <w:tc>
          <w:tcPr>
            <w:tcW w:type="pct" w:w="6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통닭거리 '소상공인 공구 프로젝트', 지역 먹거리 + 유통망 결합</w:t>
            </w:r>
          </w:p>
        </w:tc>
        <w:tc>
          <w:tcPr>
            <w:tcW w:type="pct" w:w="2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진행 중 / 비예산</w:t>
            </w:r>
          </w:p>
        </w:tc>
      </w:tr>
      <w:tr>
        <w:tc>
          <w:tcPr>
            <w:tcW w:type="pct" w:w="2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경희대학교</w:t>
            </w:r>
          </w:p>
        </w:tc>
        <w:tc>
          <w:tcPr>
            <w:tcW w:type="pct" w:w="6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로컬콘텐츠중점대학 — 학생·교수·상인 연결, 팝업 4개소</w:t>
            </w:r>
          </w:p>
        </w:tc>
        <w:tc>
          <w:tcPr>
            <w:tcW w:type="pct" w:w="2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예산</w:t>
            </w:r>
          </w:p>
        </w:tc>
      </w:tr>
      <w:tr>
        <w:tc>
          <w:tcPr>
            <w:tcW w:type="pct" w:w="2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아주대학교</w:t>
            </w:r>
          </w:p>
        </w:tc>
        <w:tc>
          <w:tcPr>
            <w:tcW w:type="pct" w:w="6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파란학기제 등 — '로컬 캠퍼스' 역할</w:t>
            </w:r>
          </w:p>
        </w:tc>
        <w:tc>
          <w:tcPr>
            <w:tcW w:type="pct" w:w="2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비예산</w:t>
            </w:r>
          </w:p>
        </w:tc>
      </w:tr>
    </w:tbl>
    <w:p>
      <w:pPr>
        <w:spacing w:after="4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1A365D" w:sz="18"/>
              <w:bottom w:val="single" w:color="E2E8F0" w:sz="1"/>
              <w:right w:val="single" w:color="E2E8F0" w:sz="1"/>
            </w:tcBorders>
            <w:shd w:fill="EBF1F8" w:val="clear"/>
          </w:tcPr>
          <w:p>
            <w:pPr>
              <w:spacing w:after="160" w:before="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2"/>
                <w:szCs w:val="22"/>
              </w:rPr>
              <w:t xml:space="preserve">상권의 가치가 입증되면서 자생적으로 유치된 협업으로, 사업비 없이도 대기업 마케팅 자원 활용이 가능한 구조가 형성됨.</w:t>
            </w:r>
          </w:p>
        </w:tc>
      </w:tr>
    </w:tbl>
    <w:p>
      <w:pPr>
        <w:pBdr>
          <w:bottom w:val="single" w:color="1A365D" w:sz="6"/>
        </w:pBdr>
        <w:spacing w:after="120" w:before="200" w:line="360"/>
      </w:pPr>
      <w:r>
        <w:rPr>
          <w:rFonts w:ascii="맑은 고딕" w:cs="맑은 고딕" w:eastAsia="맑은 고딕" w:hAnsi="맑은 고딕"/>
          <w:b/>
          <w:bCs/>
          <w:color w:val="1A365D"/>
          <w:sz w:val="28"/>
          <w:szCs w:val="28"/>
        </w:rPr>
        <w:t xml:space="preserve">9. 소상공인 역량 강화 — '깍스쿨' 교육 및 컨설팅</w:t>
      </w:r>
    </w:p>
    <w:p>
      <w:pPr>
        <w:spacing w:after="100" w:before="200" w:line="36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가. 교육 프로그램 (깍스쿨)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회차</w:t>
            </w:r>
          </w:p>
        </w:tc>
        <w:tc>
          <w:tcPr>
            <w:tcW w:type="pct" w:w="15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일자</w:t>
            </w:r>
          </w:p>
        </w:tc>
        <w:tc>
          <w:tcPr>
            <w:tcW w:type="pct" w:w="42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강의 내용</w:t>
            </w:r>
          </w:p>
        </w:tc>
        <w:tc>
          <w:tcPr>
            <w:tcW w:type="pct" w:w="1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인원</w:t>
            </w:r>
          </w:p>
        </w:tc>
        <w:tc>
          <w:tcPr>
            <w:tcW w:type="pct" w:w="15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강사</w:t>
            </w:r>
          </w:p>
        </w:tc>
      </w:tr>
      <w:tr>
        <w:tc>
          <w:tcPr>
            <w:tcW w:type="pct" w:w="8%"/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</w:t>
            </w:r>
          </w:p>
        </w:tc>
        <w:tc>
          <w:tcPr>
            <w:tcW w:type="pct" w:w="1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2024.12.26</w:t>
            </w:r>
          </w:p>
        </w:tc>
        <w:tc>
          <w:tcPr>
            <w:tcW w:type="pct" w:w="42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행궁동의 환대, 기업가 정신 함양</w:t>
            </w:r>
          </w:p>
        </w:tc>
        <w:tc>
          <w:tcPr>
            <w:tcW w:type="pct" w:w="10%"/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26</w:t>
            </w:r>
          </w:p>
        </w:tc>
        <w:tc>
          <w:tcPr>
            <w:tcW w:type="pct" w:w="1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박승현</w:t>
            </w:r>
          </w:p>
        </w:tc>
      </w:tr>
      <w:tr>
        <w:tc>
          <w:tcPr>
            <w:tcW w:type="pct" w:w="8%"/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</w:t>
            </w:r>
          </w:p>
        </w:tc>
        <w:tc>
          <w:tcPr>
            <w:tcW w:type="pct" w:w="15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2024.12.27</w:t>
            </w:r>
          </w:p>
        </w:tc>
        <w:tc>
          <w:tcPr>
            <w:tcW w:type="pct" w:w="42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매장 환대 인프라 조성</w:t>
            </w:r>
          </w:p>
        </w:tc>
        <w:tc>
          <w:tcPr>
            <w:tcW w:type="pct" w:w="10%"/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23</w:t>
            </w:r>
          </w:p>
        </w:tc>
        <w:tc>
          <w:tcPr>
            <w:tcW w:type="pct" w:w="15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박필관</w:t>
            </w:r>
          </w:p>
        </w:tc>
      </w:tr>
      <w:tr>
        <w:tc>
          <w:tcPr>
            <w:tcW w:type="pct" w:w="8%"/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3</w:t>
            </w:r>
          </w:p>
        </w:tc>
        <w:tc>
          <w:tcPr>
            <w:tcW w:type="pct" w:w="1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2024.12.30</w:t>
            </w:r>
          </w:p>
        </w:tc>
        <w:tc>
          <w:tcPr>
            <w:tcW w:type="pct" w:w="42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환대의 말하기 듣기, 단골 만들기</w:t>
            </w:r>
          </w:p>
        </w:tc>
        <w:tc>
          <w:tcPr>
            <w:tcW w:type="pct" w:w="10%"/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22</w:t>
            </w:r>
          </w:p>
        </w:tc>
        <w:tc>
          <w:tcPr>
            <w:tcW w:type="pct" w:w="1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이채은</w:t>
            </w:r>
          </w:p>
        </w:tc>
      </w:tr>
      <w:tr>
        <w:tc>
          <w:tcPr>
            <w:tcW w:type="pct" w:w="8%"/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4</w:t>
            </w:r>
          </w:p>
        </w:tc>
        <w:tc>
          <w:tcPr>
            <w:tcW w:type="pct" w:w="15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2025.01.07</w:t>
            </w:r>
          </w:p>
        </w:tc>
        <w:tc>
          <w:tcPr>
            <w:tcW w:type="pct" w:w="42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사업계획서의 기초</w:t>
            </w:r>
          </w:p>
        </w:tc>
        <w:tc>
          <w:tcPr>
            <w:tcW w:type="pct" w:w="10%"/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24</w:t>
            </w:r>
          </w:p>
        </w:tc>
        <w:tc>
          <w:tcPr>
            <w:tcW w:type="pct" w:w="15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김다빈</w:t>
            </w:r>
          </w:p>
        </w:tc>
      </w:tr>
      <w:tr>
        <w:tc>
          <w:tcPr>
            <w:tcW w:type="pct" w:w="8%"/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5</w:t>
            </w:r>
          </w:p>
        </w:tc>
        <w:tc>
          <w:tcPr>
            <w:tcW w:type="pct" w:w="1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2025.01.13</w:t>
            </w:r>
          </w:p>
        </w:tc>
        <w:tc>
          <w:tcPr>
            <w:tcW w:type="pct" w:w="42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효과적인 홍보·마케팅 전략</w:t>
            </w:r>
          </w:p>
        </w:tc>
        <w:tc>
          <w:tcPr>
            <w:tcW w:type="pct" w:w="10%"/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24</w:t>
            </w:r>
          </w:p>
        </w:tc>
        <w:tc>
          <w:tcPr>
            <w:tcW w:type="pct" w:w="1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임향미</w:t>
            </w:r>
          </w:p>
        </w:tc>
      </w:tr>
      <w:tr>
        <w:tc>
          <w:tcPr>
            <w:tcW w:type="pct" w:w="8%"/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6</w:t>
            </w:r>
          </w:p>
        </w:tc>
        <w:tc>
          <w:tcPr>
            <w:tcW w:type="pct" w:w="15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2025.01.14</w:t>
            </w:r>
          </w:p>
        </w:tc>
        <w:tc>
          <w:tcPr>
            <w:tcW w:type="pct" w:w="42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정부 지원 사업 활용 노하우</w:t>
            </w:r>
          </w:p>
        </w:tc>
        <w:tc>
          <w:tcPr>
            <w:tcW w:type="pct" w:w="10%"/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19</w:t>
            </w:r>
          </w:p>
        </w:tc>
        <w:tc>
          <w:tcPr>
            <w:tcW w:type="pct" w:w="15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장예원</w:t>
            </w:r>
          </w:p>
        </w:tc>
      </w:tr>
      <w:tr>
        <w:tc>
          <w:tcPr>
            <w:tcW w:type="pct" w:w="8%"/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7</w:t>
            </w:r>
          </w:p>
        </w:tc>
        <w:tc>
          <w:tcPr>
            <w:tcW w:type="pct" w:w="1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2025.01.20</w:t>
            </w:r>
          </w:p>
        </w:tc>
        <w:tc>
          <w:tcPr>
            <w:tcW w:type="pct" w:w="42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IR교육 (사업계획서 작성)</w:t>
            </w:r>
          </w:p>
        </w:tc>
        <w:tc>
          <w:tcPr>
            <w:tcW w:type="pct" w:w="10%"/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19</w:t>
            </w:r>
          </w:p>
        </w:tc>
        <w:tc>
          <w:tcPr>
            <w:tcW w:type="pct" w:w="1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장부</w:t>
            </w:r>
          </w:p>
        </w:tc>
      </w:tr>
      <w:tr>
        <w:tc>
          <w:tcPr>
            <w:tcW w:type="pct" w:w="8%"/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8</w:t>
            </w:r>
          </w:p>
        </w:tc>
        <w:tc>
          <w:tcPr>
            <w:tcW w:type="pct" w:w="15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2025.02.07</w:t>
            </w:r>
          </w:p>
        </w:tc>
        <w:tc>
          <w:tcPr>
            <w:tcW w:type="pct" w:w="42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IR교육 (발표자료 작성)</w:t>
            </w:r>
          </w:p>
        </w:tc>
        <w:tc>
          <w:tcPr>
            <w:tcW w:type="pct" w:w="10%"/>
            <w:shd w:fill="F7F9FC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11</w:t>
            </w:r>
          </w:p>
        </w:tc>
        <w:tc>
          <w:tcPr>
            <w:tcW w:type="pct" w:w="15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민욱조</w:t>
            </w:r>
          </w:p>
        </w:tc>
      </w:tr>
      <w:tr>
        <w:tc>
          <w:tcPr>
            <w:tcW w:type="pct" w:w="8%"/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9</w:t>
            </w:r>
          </w:p>
        </w:tc>
        <w:tc>
          <w:tcPr>
            <w:tcW w:type="pct" w:w="1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2025.02.10</w:t>
            </w:r>
          </w:p>
        </w:tc>
        <w:tc>
          <w:tcPr>
            <w:tcW w:type="pct" w:w="42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브랜딩 및 디자인 도입, 고도화 전략</w:t>
            </w:r>
          </w:p>
        </w:tc>
        <w:tc>
          <w:tcPr>
            <w:tcW w:type="pct" w:w="10%"/>
            <w:shd w:fill="FFFFFF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10</w:t>
            </w:r>
          </w:p>
        </w:tc>
        <w:tc>
          <w:tcPr>
            <w:tcW w:type="pct" w:w="15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마지연</w:t>
            </w:r>
          </w:p>
        </w:tc>
      </w:tr>
      <w:tr>
        <w:tc>
          <w:tcPr>
            <w:tcW w:type="pct" w:w="8%"/>
            <w:shd w:fill="EBF1F8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20"/>
                <w:szCs w:val="20"/>
              </w:rPr>
              <w:t xml:space="preserve">10</w:t>
            </w:r>
          </w:p>
        </w:tc>
        <w:tc>
          <w:tcPr>
            <w:tcW w:type="pct" w:w="15%"/>
            <w:shd w:fill="EBF1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20"/>
                <w:szCs w:val="20"/>
              </w:rPr>
              <w:t xml:space="preserve">2025.02.24</w:t>
            </w:r>
          </w:p>
        </w:tc>
        <w:tc>
          <w:tcPr>
            <w:tcW w:type="pct" w:w="42%"/>
            <w:shd w:fill="EBF1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20"/>
                <w:szCs w:val="20"/>
              </w:rPr>
              <w:t xml:space="preserve">'온라인 간판' 만들기 (구글맵, 트립어드바이저)</w:t>
            </w:r>
          </w:p>
        </w:tc>
        <w:tc>
          <w:tcPr>
            <w:tcW w:type="pct" w:w="10%"/>
            <w:shd w:fill="EBF1F8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20"/>
                <w:szCs w:val="20"/>
              </w:rPr>
              <w:t xml:space="preserve">7</w:t>
            </w:r>
          </w:p>
        </w:tc>
        <w:tc>
          <w:tcPr>
            <w:tcW w:type="pct" w:w="15%"/>
            <w:shd w:fill="EBF1F8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3436"/>
                <w:sz w:val="20"/>
                <w:szCs w:val="20"/>
              </w:rPr>
              <w:t xml:space="preserve">이승훈</w:t>
            </w:r>
          </w:p>
        </w:tc>
      </w:tr>
      <w:tr>
        <w:tc>
          <w:tcPr>
            <w:tcW w:type="pct" w:w="8%"/>
            <w:shd w:fill="1A365D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shd w:fill="1A365D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pct" w:w="42%"/>
            <w:shd w:fill="1A365D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총 누적 참여</w:t>
            </w:r>
          </w:p>
        </w:tc>
        <w:tc>
          <w:tcPr>
            <w:tcW w:type="pct" w:w="10%"/>
            <w:shd w:fill="1A365D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185명</w:t>
            </w:r>
          </w:p>
        </w:tc>
        <w:tc>
          <w:tcPr>
            <w:tcW w:type="pct" w:w="15%"/>
            <w:shd w:fill="1A365D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전문 강사 12인</w:t>
            </w:r>
          </w:p>
        </w:tc>
      </w:tr>
    </w:tbl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평균 만족도: </w:t>
      </w:r>
      <w:r>
        <w:rPr>
          <w:rFonts w:ascii="맑은 고딕" w:cs="맑은 고딕" w:eastAsia="맑은 고딕" w:hAnsi="맑은 고딕"/>
          <w:b/>
          <w:bCs/>
          <w:color w:val="2E8B57"/>
          <w:sz w:val="22"/>
          <w:szCs w:val="22"/>
        </w:rPr>
        <w:t xml:space="preserve">4.41점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 (5점 만점)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온라인 마케팅 및 정부지원사업 활용 교육 만족도 최고 → 실제 신청·등록 성과로 연결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p>
      <w:pPr>
        <w:spacing w:after="100" w:before="200" w:line="36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나. 1:1 맞춤 컨설팅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pct" w:w="7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실적</w:t>
            </w:r>
          </w:p>
        </w:tc>
      </w:tr>
      <w:tr>
        <w:tc>
          <w:tcPr>
            <w:tcW w:type="pct" w:w="3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총 컨설팅 수</w:t>
            </w:r>
          </w:p>
        </w:tc>
        <w:tc>
          <w:tcPr>
            <w:tcW w:type="pct" w:w="7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138건</w:t>
            </w:r>
          </w:p>
        </w:tc>
      </w:tr>
      <w:tr>
        <w:tc>
          <w:tcPr>
            <w:tcW w:type="pct" w:w="3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참여 업체</w:t>
            </w:r>
          </w:p>
        </w:tc>
        <w:tc>
          <w:tcPr>
            <w:tcW w:type="pct" w:w="7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27개 팀</w:t>
            </w:r>
          </w:p>
        </w:tc>
      </w:tr>
      <w:tr>
        <w:tc>
          <w:tcPr>
            <w:tcW w:type="pct" w:w="3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참여 전문가</w:t>
            </w:r>
          </w:p>
        </w:tc>
        <w:tc>
          <w:tcPr>
            <w:tcW w:type="pct" w:w="7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12명</w:t>
            </w:r>
          </w:p>
        </w:tc>
      </w:tr>
      <w:tr>
        <w:tc>
          <w:tcPr>
            <w:tcW w:type="pct" w:w="3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운영 기간</w:t>
            </w:r>
          </w:p>
        </w:tc>
        <w:tc>
          <w:tcPr>
            <w:tcW w:type="pct" w:w="7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2024.12 ~ 2025.02 (사전 컨설팅 2024.11)</w:t>
            </w:r>
          </w:p>
        </w:tc>
      </w:tr>
      <w:tr>
        <w:tc>
          <w:tcPr>
            <w:tcW w:type="pct" w:w="3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분야</w:t>
            </w:r>
          </w:p>
        </w:tc>
        <w:tc>
          <w:tcPr>
            <w:tcW w:type="pct" w:w="7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홍보 마케팅, 디지털 전환, 브랜드, F&amp;B, 경영, IR</w:t>
            </w:r>
          </w:p>
        </w:tc>
      </w:tr>
    </w:tbl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컨설팅 이후 스마트스토어, 온라인 홍보 이미지 등 매출·조회수 성과 확인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일부 점포는 정부지원사업에 도전 → 사업 성장 모멘텀 형성</w:t>
      </w:r>
    </w:p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p>
      <w:pPr>
        <w:spacing w:after="100" w:before="200" w:line="36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다. 스케일업 성과 (국비 연계)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pct" w:w="7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실적</w:t>
            </w:r>
          </w:p>
        </w:tc>
      </w:tr>
      <w:tr>
        <w:tc>
          <w:tcPr>
            <w:tcW w:type="pct" w:w="3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정부지원사업 신청</w:t>
            </w:r>
          </w:p>
        </w:tc>
        <w:tc>
          <w:tcPr>
            <w:tcW w:type="pct" w:w="7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8개 팀</w:t>
            </w:r>
          </w:p>
        </w:tc>
      </w:tr>
      <w:tr>
        <w:tc>
          <w:tcPr>
            <w:tcW w:type="pct" w:w="3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강한소상공인 선정</w:t>
            </w:r>
          </w:p>
        </w:tc>
        <w:tc>
          <w:tcPr>
            <w:tcW w:type="pct" w:w="7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3팀 (비예산/전국 경쟁)</w:t>
            </w:r>
          </w:p>
        </w:tc>
      </w:tr>
      <w:tr>
        <w:tc>
          <w:tcPr>
            <w:tcW w:type="pct" w:w="3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로컬크리에이터 선정</w:t>
            </w:r>
          </w:p>
        </w:tc>
        <w:tc>
          <w:tcPr>
            <w:tcW w:type="pct" w:w="7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1팀 (비예산/경쟁)</w:t>
            </w:r>
          </w:p>
        </w:tc>
      </w:tr>
      <w:tr>
        <w:tc>
          <w:tcPr>
            <w:tcW w:type="pct" w:w="3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선진지 답사</w:t>
            </w:r>
          </w:p>
        </w:tc>
        <w:tc>
          <w:tcPr>
            <w:tcW w:type="pct" w:w="7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14개 팀 참가 (목포·공주·인천)</w:t>
            </w:r>
          </w:p>
        </w:tc>
      </w:tr>
    </w:tbl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p>
      <w:pPr>
        <w:spacing w:after="100" w:before="200" w:line="360"/>
      </w:pPr>
      <w:r>
        <w:rPr>
          <w:rFonts w:ascii="맑은 고딕" w:cs="맑은 고딕" w:eastAsia="맑은 고딕" w:hAnsi="맑은 고딕"/>
          <w:b/>
          <w:bCs/>
          <w:color w:val="2D3436"/>
          <w:sz w:val="24"/>
          <w:szCs w:val="24"/>
        </w:rPr>
        <w:t xml:space="preserve">라. 선진지 답사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유휴공간 활용, 노포와 청년 창업의 융합, 마을 기반 콘텐츠 기획 등 전략을 현장 관찰</w:t>
      </w:r>
    </w:p>
    <w:p>
      <w:pPr>
        <w:spacing w:after="60" w:line="340"/>
        <w:ind w:left="431"/>
      </w:pP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• 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참여자 간 네트워킹을 통한 협업 프로젝트 기획 활성화</w:t>
      </w:r>
    </w:p>
    <w:p>
      <w:pPr>
        <w:pBdr>
          <w:bottom w:val="single" w:color="1A365D" w:sz="6"/>
        </w:pBdr>
        <w:spacing w:after="120" w:before="200" w:line="360"/>
      </w:pPr>
      <w:r>
        <w:rPr>
          <w:rFonts w:ascii="맑은 고딕" w:cs="맑은 고딕" w:eastAsia="맑은 고딕" w:hAnsi="맑은 고딕"/>
          <w:b/>
          <w:bCs/>
          <w:color w:val="1A365D"/>
          <w:sz w:val="28"/>
          <w:szCs w:val="28"/>
        </w:rPr>
        <w:t xml:space="preserve">10. 상권 거버넌스 구축 — 사단법인 행궁동행 (비예산)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pct" w:w="8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실적</w:t>
            </w:r>
          </w:p>
        </w:tc>
      </w:tr>
      <w:tr>
        <w:tc>
          <w:tcPr>
            <w:tcW w:type="pct" w:w="2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설립회원</w:t>
            </w:r>
          </w:p>
        </w:tc>
        <w:tc>
          <w:tcPr>
            <w:tcW w:type="pct" w:w="8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50명</w:t>
            </w:r>
          </w:p>
        </w:tc>
      </w:tr>
      <w:tr>
        <w:tc>
          <w:tcPr>
            <w:tcW w:type="pct" w:w="2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성격</w:t>
            </w:r>
          </w:p>
        </w:tc>
        <w:tc>
          <w:tcPr>
            <w:tcW w:type="pct" w:w="8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단순 친목 단체가 아닌 실질적 상권 관리 기구로 법인화</w:t>
            </w:r>
          </w:p>
        </w:tc>
      </w:tr>
      <w:tr>
        <w:tc>
          <w:tcPr>
            <w:tcW w:type="pct" w:w="2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주요 지원</w:t>
            </w:r>
          </w:p>
        </w:tc>
        <w:tc>
          <w:tcPr>
            <w:tcW w:type="pct" w:w="8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통닭거리 상인회 로컬 브랜딩 기획, '수월래' 축제 기획 및 운영</w:t>
            </w:r>
          </w:p>
        </w:tc>
      </w:tr>
      <w:tr>
        <w:tc>
          <w:tcPr>
            <w:tcW w:type="pct" w:w="2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추진 방식</w:t>
            </w:r>
          </w:p>
        </w:tc>
        <w:tc>
          <w:tcPr>
            <w:tcW w:type="pct" w:w="8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비예산 — 상인 자발적 참여 기반</w:t>
            </w:r>
          </w:p>
        </w:tc>
      </w:tr>
    </w:tbl>
    <w:p>
      <w:pPr>
        <w:spacing w:after="1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향후 '사단법인 행궁동행'이 상권관리자로서의 역할을 담당하며, 환대의 커뮤니티 BI 및 인스펙터 시스템과 연계 운영 예정.</w:t>
      </w:r>
    </w:p>
    <w:p>
      <w:pPr>
        <w:pBdr>
          <w:bottom w:val="single" w:color="1A365D" w:sz="6"/>
        </w:pBdr>
        <w:spacing w:after="120" w:before="200" w:line="360"/>
      </w:pPr>
      <w:r>
        <w:rPr>
          <w:rFonts w:ascii="맑은 고딕" w:cs="맑은 고딕" w:eastAsia="맑은 고딕" w:hAnsi="맑은 고딕"/>
          <w:b/>
          <w:bCs/>
          <w:color w:val="1A365D"/>
          <w:sz w:val="28"/>
          <w:szCs w:val="28"/>
        </w:rPr>
        <w:t xml:space="preserve">11. 성과의 전국 확산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확산 사례</w:t>
            </w:r>
          </w:p>
        </w:tc>
        <w:tc>
          <w:tcPr>
            <w:tcW w:type="pct" w:w="7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pct" w:w="3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제주 '귤메달' × 오뚜기</w:t>
            </w:r>
          </w:p>
        </w:tc>
        <w:tc>
          <w:tcPr>
            <w:tcW w:type="pct" w:w="7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수원발 로컬 브랜드 협업 모델을 전국 단위로 확장, 협업 프로젝트 성사</w:t>
            </w:r>
          </w:p>
        </w:tc>
      </w:tr>
      <w:tr>
        <w:tc>
          <w:tcPr>
            <w:tcW w:type="pct" w:w="3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2025 글로컬페스타</w:t>
            </w:r>
          </w:p>
        </w:tc>
        <w:tc>
          <w:tcPr>
            <w:tcW w:type="pct" w:w="7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중소벤처기업부 주관, 54팀 참여 — 상권 활성화 성공 사례 공유 및 확산 주도</w:t>
            </w:r>
          </w:p>
        </w:tc>
      </w:tr>
      <w:tr>
        <w:tc>
          <w:tcPr>
            <w:tcW w:type="pct" w:w="3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대전시 상권 분석</w:t>
            </w:r>
          </w:p>
        </w:tc>
        <w:tc>
          <w:tcPr>
            <w:tcW w:type="pct" w:w="7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AI 기반 상권 분석 노하우 및 서사 기획(로컬디인사이트) 방법론 이식</w:t>
            </w:r>
          </w:p>
        </w:tc>
      </w:tr>
    </w:tbl>
    <w:p>
      <w:pPr>
        <w:pBdr>
          <w:bottom w:val="single" w:color="1A365D" w:sz="6"/>
        </w:pBdr>
        <w:spacing w:after="120" w:before="200" w:line="360"/>
      </w:pPr>
      <w:r>
        <w:rPr>
          <w:rFonts w:ascii="맑은 고딕" w:cs="맑은 고딕" w:eastAsia="맑은 고딕" w:hAnsi="맑은 고딕"/>
          <w:b/>
          <w:bCs/>
          <w:color w:val="1A365D"/>
          <w:sz w:val="28"/>
          <w:szCs w:val="28"/>
        </w:rPr>
        <w:t xml:space="preserve">12. 결론 및 향후 방향</w:t>
      </w:r>
    </w:p>
    <w:p>
      <w:pPr>
        <w:spacing w:after="1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2024년이 '가능성'을 확인하고 '사람'을 키우는 단계였다면, 2025년은 그 사람과 콘텐츠가 온라인을 통해 전 세계와 연결되는 </w:t>
      </w:r>
      <w:r>
        <w:rPr>
          <w:rFonts w:ascii="맑은 고딕" w:cs="맑은 고딕" w:eastAsia="맑은 고딕" w:hAnsi="맑은 고딕"/>
          <w:b/>
          <w:bCs/>
          <w:color w:val="4A6FA5"/>
          <w:sz w:val="22"/>
          <w:szCs w:val="22"/>
        </w:rPr>
        <w:t xml:space="preserve">'확장'의 원년</w:t>
      </w: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>이었음.</w:t>
      </w:r>
    </w:p>
    <w:p>
      <w:pPr>
        <w:spacing w:after="4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성과 영역</w:t>
            </w:r>
          </w:p>
        </w:tc>
        <w:tc>
          <w:tcPr>
            <w:tcW w:type="pct" w:w="70%"/>
            <w:shd w:fill="1A365D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pct" w:w="3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고부가가치 전환</w:t>
            </w:r>
          </w:p>
        </w:tc>
        <w:tc>
          <w:tcPr>
            <w:tcW w:type="pct" w:w="7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방문객 +40%, 소비액 +107% — 양보다 질</w:t>
            </w:r>
          </w:p>
        </w:tc>
      </w:tr>
      <w:tr>
        <w:tc>
          <w:tcPr>
            <w:tcW w:type="pct" w:w="3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글로벌 디지털 접근성</w:t>
            </w:r>
          </w:p>
        </w:tc>
        <w:tc>
          <w:tcPr>
            <w:tcW w:type="pct" w:w="7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'온라인 간판' + GoSuwon + 4개국어 SNS</w:t>
            </w:r>
          </w:p>
        </w:tc>
      </w:tr>
      <w:tr>
        <w:tc>
          <w:tcPr>
            <w:tcW w:type="pct" w:w="3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서비스 품질 체계화</w:t>
            </w:r>
          </w:p>
        </w:tc>
        <w:tc>
          <w:tcPr>
            <w:tcW w:type="pct" w:w="7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환대지수 64→89점, 미스터리 쇼퍼-인스펙터 선순환</w:t>
            </w:r>
          </w:p>
        </w:tc>
      </w:tr>
      <w:tr>
        <w:tc>
          <w:tcPr>
            <w:tcW w:type="pct" w:w="3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자생적 구조</w:t>
            </w:r>
          </w:p>
        </w:tc>
        <w:tc>
          <w:tcPr>
            <w:tcW w:type="pct" w:w="7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대기업·대학 비예산 협업 유치, 상인 주도 협업 20→142회</w:t>
            </w:r>
          </w:p>
        </w:tc>
      </w:tr>
      <w:tr>
        <w:tc>
          <w:tcPr>
            <w:tcW w:type="pct" w:w="3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역량 내재화</w:t>
            </w:r>
          </w:p>
        </w:tc>
        <w:tc>
          <w:tcPr>
            <w:tcW w:type="pct" w:w="7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외부 컨설턴트 의존 → 자체 역량 전환</w:t>
            </w:r>
          </w:p>
        </w:tc>
      </w:tr>
      <w:tr>
        <w:tc>
          <w:tcPr>
            <w:tcW w:type="pct" w:w="3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거버넌스 구축</w:t>
            </w:r>
          </w:p>
        </w:tc>
        <w:tc>
          <w:tcPr>
            <w:tcW w:type="pct" w:w="70%"/>
            <w:shd w:fill="F7F9FC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사단법인 행궁동행 설립 (50명)</w:t>
            </w:r>
          </w:p>
        </w:tc>
      </w:tr>
      <w:tr>
        <w:tc>
          <w:tcPr>
            <w:tcW w:type="pct" w:w="3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전국 확산</w:t>
            </w:r>
          </w:p>
        </w:tc>
        <w:tc>
          <w:tcPr>
            <w:tcW w:type="pct" w:w="70%"/>
            <w:shd w:fill="FFFFFF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0"/>
                <w:szCs w:val="20"/>
              </w:rPr>
              <w:t xml:space="preserve">제주·대전·글로컬페스타로 모델 전파</w:t>
            </w:r>
          </w:p>
        </w:tc>
      </w:tr>
    </w:tbl>
    <w:p>
      <w:pPr>
        <w:spacing w:after="6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1"/>
              <w:left w:val="single" w:color="1A365D" w:sz="18"/>
              <w:bottom w:val="single" w:color="E2E8F0" w:sz="1"/>
              <w:right w:val="single" w:color="E2E8F0" w:sz="1"/>
            </w:tcBorders>
            <w:shd w:fill="EBF1F8" w:val="clear"/>
          </w:tcPr>
          <w:p>
            <w:pPr>
              <w:spacing w:after="160" w:before="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3436"/>
                <w:sz w:val="22"/>
                <w:szCs w:val="22"/>
              </w:rPr>
              <w:t xml:space="preserve">⇒ 소상공인 스케일업의 지속 지원을 통해 수원 행궁동을 대한민국 대표 K상권으로 도약시킬 필요가 있음.</w:t>
            </w:r>
          </w:p>
        </w:tc>
      </w:tr>
    </w:tbl>
    <w:p>
      <w:pPr>
        <w:spacing w:after="20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D3436"/>
          <w:sz w:val="22"/>
          <w:szCs w:val="22"/>
        </w:rPr>
        <w:t xml:space="preserve"/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/>
      </w:pBdr>
      <w:tabs>
        <w:tab w:val="right" w:pos="9026"/>
      </w:tabs>
    </w:pPr>
    <w:r>
      <w:rPr>
        <w:rFonts w:ascii="맑은 고딕" w:cs="맑은 고딕" w:eastAsia="맑은 고딕" w:hAnsi="맑은 고딕"/>
        <w:b w:val="false"/>
        <w:bCs w:val="false"/>
        <w:color w:val="718096"/>
        <w:sz w:val="16"/>
        <w:szCs w:val="16"/>
      </w:rPr>
      <w:t xml:space="preserve">수원 행궁동 글로컬 상권 활성화 사업 성과 보고</w:t>
    </w:r>
    <w:r>
      <w:rPr>
        <w:rFonts w:ascii="맑은 고딕" w:cs="맑은 고딕" w:eastAsia="맑은 고딕" w:hAnsi="맑은 고딕"/>
      </w:rPr>
      <w:tab/>
    </w:r>
    <w:r>
      <w:rPr>
        <w:rFonts w:ascii="맑은 고딕" w:cs="맑은 고딕" w:eastAsia="맑은 고딕" w:hAnsi="맑은 고딕"/>
        <w:b w:val="false"/>
        <w:bCs w:val="false"/>
        <w:color w:val="718096"/>
        <w:sz w:val="16"/>
        <w:szCs w:val="16"/>
      </w:rPr>
      <w:t xml:space="preserve">(주)공존공간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/>
      </w:pBdr>
      <w:tabs>
        <w:tab w:val="right" w:pos="9026"/>
      </w:tabs>
    </w:pPr>
    <w:r>
      <w:rPr>
        <w:rFonts w:ascii="맑은 고딕" w:cs="맑은 고딕" w:eastAsia="맑은 고딕" w:hAnsi="맑은 고딕"/>
        <w:b w:val="false"/>
        <w:bCs w:val="false"/>
        <w:color w:val="718096"/>
        <w:sz w:val="16"/>
        <w:szCs w:val="16"/>
      </w:rPr>
      <w:t xml:space="preserve">수원 행궁동 글로컬 상권 활성화 사업 성과 보고</w:t>
    </w:r>
    <w:r>
      <w:rPr>
        <w:rFonts w:ascii="맑은 고딕" w:cs="맑은 고딕" w:eastAsia="맑은 고딕" w:hAnsi="맑은 고딕"/>
      </w:rPr>
      <w:tab/>
    </w:r>
    <w:r>
      <w:rPr>
        <w:rFonts w:ascii="맑은 고딕" w:cs="맑은 고딕" w:eastAsia="맑은 고딕" w:hAnsi="맑은 고딕"/>
        <w:b w:val="false"/>
        <w:bCs w:val="false"/>
        <w:color w:val="718096"/>
        <w:sz w:val="16"/>
        <w:szCs w:val="16"/>
      </w:rPr>
      <w:t xml:space="preserve">(주)공존공간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D3436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2026-03-06T08:21:10.399Z</dcterms:created>
  <dcterms:modified xsi:type="dcterms:W3CDTF">2026-03-06T08:21:10.400Z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