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png" ContentType="image/png"/>
  <Override PartName="/word/media/image3.wmf" ContentType="image/x-wmf"/>
  <Override PartName="/word/media/image5.jpeg" ContentType="image/jpeg"/>
  <Override PartName="/word/media/image4.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tabs>
          <w:tab w:val="left" w:pos="709" w:leader="none"/>
        </w:tabs>
        <w:spacing w:before="240" w:after="0"/>
        <w:rPr>
          <w:rFonts w:eastAsia="Times New Roman"/>
          <w:sz w:val="22"/>
          <w:lang w:eastAsia="ru-RU"/>
        </w:rPr>
      </w:pPr>
      <w:r>
        <mc:AlternateContent>
          <mc:Choice Requires="wps">
            <w:drawing>
              <wp:anchor behindDoc="0" distT="0" distB="0" distL="0" distR="0" simplePos="0" locked="0" layoutInCell="1" allowOverlap="1" relativeHeight="8" wp14:anchorId="5D2AADCA">
                <wp:simplePos x="0" y="0"/>
                <wp:positionH relativeFrom="column">
                  <wp:posOffset>0</wp:posOffset>
                </wp:positionH>
                <wp:positionV relativeFrom="paragraph">
                  <wp:posOffset>635</wp:posOffset>
                </wp:positionV>
                <wp:extent cx="635000" cy="635000"/>
                <wp:effectExtent l="0" t="0" r="0" b="0"/>
                <wp:wrapNone/>
                <wp:docPr id="1"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05pt;width:49.95pt;height:49.95pt;mso-wrap-style:none;v-text-anchor:middle" wp14:anchorId="5D2AADCA">
                <v:fill o:detectmouseclick="t" on="false"/>
                <v:stroke color="#3465a4" joinstyle="round" endcap="flat"/>
                <w10:wrap type="none"/>
              </v:rect>
            </w:pict>
          </mc:Fallback>
        </mc:AlternateContent>
        <mc:AlternateContent>
          <mc:Choice Requires="wps">
            <w:drawing>
              <wp:anchor behindDoc="0" distT="0" distB="0" distL="0" distR="0" simplePos="0" locked="0" layoutInCell="1" allowOverlap="1" relativeHeight="9" wp14:anchorId="2C01AC1B">
                <wp:simplePos x="0" y="0"/>
                <wp:positionH relativeFrom="column">
                  <wp:posOffset>0</wp:posOffset>
                </wp:positionH>
                <wp:positionV relativeFrom="paragraph">
                  <wp:posOffset>635</wp:posOffset>
                </wp:positionV>
                <wp:extent cx="635000" cy="635000"/>
                <wp:effectExtent l="0" t="0" r="0" b="0"/>
                <wp:wrapNone/>
                <wp:docPr id="2"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05pt;width:49.95pt;height:49.95pt;mso-wrap-style:none;v-text-anchor:middle" wp14:anchorId="2C01AC1B">
                <v:fill o:detectmouseclick="t" on="false"/>
                <v:stroke color="#3465a4" joinstyle="round" endcap="flat"/>
                <w10:wrap type="none"/>
              </v:rect>
            </w:pict>
          </mc:Fallback>
        </mc:AlternateConten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35pt;height:14.4pt;mso-wrap-distance-right:0pt" filled="f" o:ole="">
            <v:imagedata r:id="rId3" o:title=""/>
          </v:shape>
          <o:OLEObject Type="Embed" ProgID="Equation.DSMT4" ShapeID="ole_rId2" DrawAspect="Content" ObjectID="_2106923206" r:id="rId2"/>
        </w:object>
      </w:r>
      <w:r>
        <w:rPr/>
        <w:drawing>
          <wp:inline distT="0" distB="0" distL="0" distR="0">
            <wp:extent cx="880110" cy="189865"/>
            <wp:effectExtent l="0" t="0" r="0" b="0"/>
            <wp:docPr id="3"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https://mirrors.creativecommons.org/presskit/buttons/80x15/png/by.png"/>
                    <pic:cNvPicPr>
                      <a:picLocks noChangeAspect="1" noChangeArrowheads="1"/>
                    </pic:cNvPicPr>
                  </pic:nvPicPr>
                  <pic:blipFill>
                    <a:blip r:embed="rId4"/>
                    <a:stretch>
                      <a:fillRect/>
                    </a:stretch>
                  </pic:blipFill>
                  <pic:spPr bwMode="auto">
                    <a:xfrm>
                      <a:off x="0" y="0"/>
                      <a:ext cx="880110" cy="189865"/>
                    </a:xfrm>
                    <a:prstGeom prst="rect">
                      <a:avLst/>
                    </a:prstGeom>
                  </pic:spPr>
                </pic:pic>
              </a:graphicData>
            </a:graphic>
          </wp:inline>
        </w:drawing>
      </w:r>
    </w:p>
    <w:p>
      <w:pPr>
        <w:pStyle w:val="Normal"/>
        <w:keepNext w:val="true"/>
        <w:keepLines/>
        <w:tabs>
          <w:tab w:val="left" w:pos="709" w:leader="none"/>
        </w:tabs>
        <w:spacing w:before="240" w:after="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pPr>
        <w:pStyle w:val="Normal"/>
        <w:keepNext w:val="true"/>
        <w:keepLines/>
        <w:tabs>
          <w:tab w:val="left" w:pos="709" w:leader="none"/>
        </w:tabs>
        <w:spacing w:before="240" w:after="0"/>
        <w:rPr>
          <w:rFonts w:eastAsia="Times New Roman"/>
          <w:i/>
          <w:i/>
          <w:sz w:val="22"/>
          <w:lang w:val="ru-RU" w:eastAsia="ru-RU"/>
        </w:rPr>
      </w:pPr>
      <w:r>
        <w:rPr>
          <w:rFonts w:eastAsia="Times New Roman"/>
          <w:i/>
          <w:sz w:val="22"/>
          <w:lang w:val="ru-RU" w:eastAsia="ru-RU"/>
        </w:rPr>
        <w:t>Оригинальная статья</w:t>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pPr>
        <w:pStyle w:val="Normal"/>
        <w:keepNext w:val="true"/>
        <w:keepLines/>
        <w:tabs>
          <w:tab w:val="left" w:pos="709" w:leader="none"/>
        </w:tabs>
        <w:spacing w:before="240" w:after="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shd w:fill="auto" w:val="clear"/>
          <w:lang w:eastAsia="ru-RU"/>
        </w:rPr>
        <w:t>004.934.2+534.784</w:t>
      </w:r>
    </w:p>
    <w:p>
      <w:pPr>
        <w:pStyle w:val="Normal"/>
        <w:keepNext w:val="true"/>
        <w:keepLines/>
        <w:numPr>
          <w:ilvl w:val="0"/>
          <w:numId w:val="0"/>
        </w:numPr>
        <w:tabs>
          <w:tab w:val="left" w:pos="709" w:leader="none"/>
        </w:tabs>
        <w:spacing w:before="480" w:after="360"/>
        <w:ind w:hanging="0" w:left="0"/>
        <w:jc w:val="center"/>
        <w:outlineLvl w:val="0"/>
        <w:rPr>
          <w:rFonts w:eastAsia="Times New Roman"/>
          <w:b/>
          <w:caps/>
          <w:kern w:val="2"/>
          <w:sz w:val="24"/>
          <w:lang w:val="ru-RU" w:eastAsia="ru-RU"/>
        </w:rPr>
      </w:pPr>
      <w:r>
        <w:rPr>
          <w:rFonts w:eastAsia="Times New Roman"/>
          <w:b/>
          <w:color w:val="000000"/>
          <w:sz w:val="24"/>
          <w:szCs w:val="24"/>
          <w:lang w:val="ru-RU"/>
        </w:rPr>
        <w:t>РАСПОЗНАВАНИЕ РЕЧЕВЫХ ЭМОЦИЙ С ИСПОЛЬЗОВАНИЕМ МЕТОДА ОПОРНЫХ ВЕКТОРОВ И НАДСЕГМЕТНЫХ АККУСТИЧЕСКИХ ПРИЗНАКОВ</w:t>
      </w:r>
    </w:p>
    <w:p>
      <w:pPr>
        <w:pStyle w:val="Normal"/>
        <w:keepNext w:val="true"/>
        <w:keepLines/>
        <w:tabs>
          <w:tab w:val="left" w:pos="709" w:leader="none"/>
        </w:tabs>
        <w:spacing w:before="240" w:after="0"/>
        <w:jc w:val="center"/>
        <w:rPr>
          <w:rFonts w:eastAsia="Times New Roman"/>
          <w:sz w:val="22"/>
          <w:lang w:val="ru-RU" w:eastAsia="ru-RU"/>
        </w:rPr>
      </w:pPr>
      <w:r>
        <w:rPr>
          <w:rFonts w:eastAsia="Times New Roman"/>
          <w:sz w:val="22"/>
          <w:lang w:val="ru-RU" w:eastAsia="ru-RU"/>
        </w:rPr>
        <w:t>КРАСНОПРОШИН Д.В. ВАШКЕВИЧ М.И.</w:t>
      </w:r>
    </w:p>
    <w:p>
      <w:pPr>
        <w:pStyle w:val="Normal"/>
        <w:keepNext w:val="true"/>
        <w:keepLines/>
        <w:tabs>
          <w:tab w:val="left" w:pos="709" w:leader="none"/>
        </w:tabs>
        <w:spacing w:before="240" w:after="40"/>
        <w:jc w:val="center"/>
        <w:rPr>
          <w:rFonts w:eastAsia="Times New Roman"/>
          <w:i/>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pPr>
        <w:pStyle w:val="Normal"/>
        <w:keepNext w:val="true"/>
        <w:keepLines/>
        <w:tabs>
          <w:tab w:val="left" w:pos="709" w:leader="none"/>
        </w:tabs>
        <w:spacing w:before="0" w:after="40"/>
        <w:jc w:val="center"/>
        <w:rPr>
          <w:rFonts w:eastAsia="Times New Roman"/>
          <w:i/>
          <w:i/>
          <w:lang w:val="ru-RU" w:eastAsia="ru-RU"/>
        </w:rPr>
      </w:pPr>
      <w:r>
        <w:rPr>
          <w:rFonts w:eastAsia="Times New Roman"/>
          <w:i/>
          <w:lang w:val="ru-RU" w:eastAsia="ru-RU"/>
        </w:rPr>
        <w:t>(г. Минск, Республика Беларусь)</w:t>
      </w:r>
    </w:p>
    <w:p>
      <w:pPr>
        <w:pStyle w:val="Normal"/>
        <w:keepNext w:val="true"/>
        <w:keepLines/>
        <w:spacing w:before="360" w:after="240"/>
        <w:ind w:left="567"/>
        <w:jc w:val="right"/>
        <w:rPr>
          <w:rFonts w:eastAsia="Times New Roman"/>
          <w:i/>
          <w:i/>
          <w:lang w:val="ru-RU" w:eastAsia="ru-RU"/>
        </w:rPr>
      </w:pPr>
      <w:r>
        <w:rPr>
          <w:rFonts w:eastAsia="Times New Roman"/>
          <w:i/>
          <w:lang w:val="ru-RU" w:eastAsia="ru-RU"/>
        </w:rPr>
        <w:t>Поступила в редакцию</w:t>
      </w:r>
    </w:p>
    <w:p>
      <w:pPr>
        <w:pStyle w:val="Normal"/>
        <w:keepNext w:val="true"/>
        <w:keepLines/>
        <w:tabs>
          <w:tab w:val="left" w:pos="709" w:leader="none"/>
        </w:tabs>
        <w:spacing w:before="240" w:after="40"/>
        <w:rPr/>
      </w:pPr>
      <w:r>
        <w:rPr>
          <w:lang w:val="ru-RU"/>
        </w:rPr>
        <w:t xml:space="preserve">© </w:t>
      </w:r>
      <w:r>
        <w:rPr/>
        <w:t xml:space="preserve">Белорусский </w:t>
      </w:r>
      <w:r>
        <w:rPr>
          <w:lang w:val="ru-RU"/>
        </w:rPr>
        <w:t>государственный</w:t>
      </w:r>
      <w:r>
        <w:rPr/>
        <w:t xml:space="preserve"> университет</w:t>
      </w:r>
      <w:r>
        <w:rPr>
          <w:lang w:val="ru-RU"/>
        </w:rPr>
        <w:t xml:space="preserve"> информатики и радиоэлектроники</w:t>
      </w:r>
      <w:r>
        <w:rPr/>
        <w:t>, 202</w:t>
      </w:r>
      <w:r>
        <w:rPr>
          <w:lang w:val="ru-RU"/>
        </w:rPr>
        <w:t>3</w:t>
      </w:r>
      <w:r>
        <w:rPr/>
        <w:t xml:space="preserve"> </w:t>
      </w:r>
    </w:p>
    <w:p>
      <w:pPr>
        <w:pStyle w:val="Normal"/>
        <w:keepLines/>
        <w:tabs>
          <w:tab w:val="left" w:pos="709" w:leader="none"/>
        </w:tabs>
        <w:spacing w:before="240" w:after="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кепстральных коэффициентов (МЧКК) при помощи классификатора на основе метода опорных векторов (МОВ). В качестве набора данных был использован датасет RAVDESS. Была предложена модель, которая использует </w:t>
      </w:r>
      <w:r>
        <w:rPr>
          <w:rFonts w:eastAsia="Times New Roman"/>
          <w:shd w:fill="auto" w:val="clear"/>
          <w:lang w:val="ru-RU" w:eastAsia="ru-RU"/>
        </w:rPr>
        <w:t>30</w:t>
      </w:r>
      <w:r>
        <w:rPr>
          <w:rFonts w:eastAsia="Times New Roman"/>
          <w:shd w:fill="auto" w:val="clear"/>
          <w:lang w:val="ru-RU" w:eastAsia="ru-RU"/>
        </w:rPr>
        <w:t>6</w:t>
      </w:r>
      <w:r>
        <w:rPr>
          <w:rFonts w:eastAsia="Times New Roman"/>
          <w:lang w:val="ru-RU" w:eastAsia="ru-RU"/>
        </w:rPr>
        <w:t>-компонентный супрасегментарный вектор признаков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мс).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pPr>
        <w:pStyle w:val="Normal"/>
        <w:keepNext w:val="true"/>
        <w:keepLines/>
        <w:tabs>
          <w:tab w:val="left" w:pos="709" w:leader="none"/>
        </w:tabs>
        <w:spacing w:before="240" w:after="240"/>
        <w:jc w:val="both"/>
        <w:rPr/>
      </w:pPr>
      <w:r>
        <w:rPr>
          <w:rFonts w:eastAsia="Times New Roman"/>
          <w:b/>
          <w:lang w:val="ru-RU" w:eastAsia="ru-RU"/>
        </w:rPr>
        <w:t xml:space="preserve">Ключевые слова: </w:t>
      </w:r>
      <w:r>
        <w:rPr>
          <w:rFonts w:eastAsia="Times New Roman"/>
          <w:lang w:val="ru-RU" w:eastAsia="ru-RU"/>
        </w:rPr>
        <w:t>голосовой сигнал, МЧКК, ЦОС, извлечение аудио признаков, распознавание, машинное обучение.</w:t>
      </w:r>
    </w:p>
    <w:p>
      <w:pPr>
        <w:pStyle w:val="Normal"/>
        <w:keepNext w:val="true"/>
        <w:keepLines/>
        <w:tabs>
          <w:tab w:val="left" w:pos="709" w:leader="none"/>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pPr>
        <w:pStyle w:val="Normal"/>
        <w:keepNext w:val="true"/>
        <w:keepLines/>
        <w:tabs>
          <w:tab w:val="left" w:pos="709" w:leader="none"/>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shd w:fill="auto" w:val="clear"/>
          <w:lang w:val="ru-RU" w:eastAsia="ru-RU"/>
        </w:rPr>
        <w:t>Вашкевич М.И., Краснопрошин Д.В.  Распознавание речевых эмоций с использованием метода опорных векторов и надсегментных акустических признаков. Доклады</w:t>
      </w:r>
      <w:r>
        <w:rPr>
          <w:rFonts w:eastAsia="Times New Roman"/>
          <w:shd w:fill="auto" w:val="clear"/>
          <w:lang w:val="en-US" w:eastAsia="ru-RU"/>
        </w:rPr>
        <w:t xml:space="preserve"> </w:t>
      </w:r>
      <w:r>
        <w:rPr>
          <w:rFonts w:eastAsia="Times New Roman"/>
          <w:shd w:fill="auto" w:val="clear"/>
          <w:lang w:val="ru-RU" w:eastAsia="ru-RU"/>
        </w:rPr>
        <w:t>БГУИР</w:t>
      </w:r>
      <w:r>
        <w:rPr>
          <w:rFonts w:eastAsia="Times New Roman"/>
          <w:shd w:fill="auto" w:val="clear"/>
          <w:lang w:val="en-US" w:eastAsia="ru-RU"/>
        </w:rPr>
        <w:t>. 2023</w:t>
      </w:r>
      <w:r>
        <w:rPr>
          <w:rFonts w:eastAsia="Times New Roman"/>
          <w:highlight w:val="yellow"/>
          <w:lang w:val="en-US" w:eastAsia="ru-RU"/>
        </w:rPr>
        <w:t>; **(*): ***-***.</w:t>
      </w:r>
    </w:p>
    <w:p>
      <w:pPr>
        <w:pStyle w:val="Normal"/>
        <w:keepNext w:val="true"/>
        <w:keepLines/>
        <w:numPr>
          <w:ilvl w:val="0"/>
          <w:numId w:val="0"/>
        </w:numPr>
        <w:tabs>
          <w:tab w:val="left" w:pos="709" w:leader="none"/>
        </w:tabs>
        <w:spacing w:before="480" w:after="360"/>
        <w:ind w:hanging="0" w:left="0"/>
        <w:jc w:val="center"/>
        <w:outlineLvl w:val="0"/>
        <w:rPr/>
      </w:pPr>
      <w:r>
        <w:rPr>
          <w:rFonts w:eastAsia="Times New Roman"/>
          <w:b/>
          <w:color w:val="000000"/>
          <w:sz w:val="24"/>
          <w:szCs w:val="24"/>
          <w:lang w:val="en-US"/>
        </w:rPr>
        <w:t>SPEECH EMOTION RECOGNITION USING SVM CLASSIFIER WITH SUPRASEGMENTAL MFCC FEATURES</w:t>
      </w:r>
    </w:p>
    <w:p>
      <w:pPr>
        <w:pStyle w:val="Normal"/>
        <w:jc w:val="center"/>
        <w:rPr/>
      </w:pPr>
      <w:r>
        <w:rPr>
          <w:rFonts w:eastAsia="Times New Roman"/>
          <w:sz w:val="22"/>
          <w:lang w:val="en-US" w:eastAsia="ru-RU"/>
        </w:rPr>
        <w:t>MAXIM.I. VASHKEVICH, DANIIL V. KRASNOPROSHIN</w:t>
      </w:r>
    </w:p>
    <w:p>
      <w:pPr>
        <w:pStyle w:val="Normal"/>
        <w:widowControl w:val="false"/>
        <w:tabs>
          <w:tab w:val="left" w:pos="709" w:leader="none"/>
        </w:tabs>
        <w:spacing w:before="240" w:after="40"/>
        <w:jc w:val="center"/>
        <w:rPr/>
      </w:pPr>
      <w:r>
        <w:rPr>
          <w:rFonts w:eastAsia="Times New Roman"/>
          <w:i/>
          <w:lang w:val="en-US" w:eastAsia="ru-RU"/>
        </w:rPr>
        <w:t>Belarusian state university of informatics and radioelectronics</w:t>
      </w:r>
    </w:p>
    <w:p>
      <w:pPr>
        <w:pStyle w:val="Normal"/>
        <w:widowControl w:val="false"/>
        <w:tabs>
          <w:tab w:val="left" w:pos="709" w:leader="none"/>
        </w:tabs>
        <w:spacing w:before="0" w:after="40"/>
        <w:jc w:val="center"/>
        <w:rPr/>
      </w:pPr>
      <w:r>
        <w:rPr>
          <w:rFonts w:eastAsia="Times New Roman"/>
          <w:i/>
          <w:lang w:val="en-US" w:eastAsia="ru-RU"/>
        </w:rPr>
        <w:t>P.Brovki str., 6, Minsk, 220013, Republic of Belarus</w:t>
      </w:r>
    </w:p>
    <w:p>
      <w:pPr>
        <w:pStyle w:val="Normal"/>
        <w:widowControl w:val="false"/>
        <w:spacing w:before="360" w:after="240"/>
        <w:ind w:left="567"/>
        <w:jc w:val="right"/>
        <w:rPr>
          <w:rFonts w:eastAsia="Times New Roman"/>
          <w:i/>
          <w:i/>
          <w:highlight w:val="yellow"/>
          <w:lang w:val="en-US" w:eastAsia="ru-RU"/>
        </w:rPr>
      </w:pPr>
      <w:r>
        <w:rPr>
          <w:rFonts w:eastAsia="Times New Roman"/>
          <w:i/>
          <w:shd w:fill="auto" w:val="clear"/>
          <w:lang w:val="en-US" w:eastAsia="ru-RU"/>
        </w:rPr>
        <w:t>Submitted</w:t>
      </w:r>
      <w:r>
        <w:rPr>
          <w:rFonts w:eastAsia="Times New Roman"/>
          <w:i/>
          <w:highlight w:val="yellow"/>
          <w:lang w:val="en-US" w:eastAsia="ru-RU"/>
        </w:rPr>
        <w:t xml:space="preserve"> </w:t>
      </w:r>
    </w:p>
    <w:p>
      <w:pPr>
        <w:pStyle w:val="Normal"/>
        <w:widowControl w:val="false"/>
        <w:tabs>
          <w:tab w:val="left" w:pos="709" w:leader="none"/>
        </w:tabs>
        <w:spacing w:before="0" w:after="40"/>
        <w:rPr>
          <w:highlight w:val="none"/>
          <w:shd w:fill="auto" w:val="clear"/>
        </w:rPr>
      </w:pPr>
      <w:r>
        <w:rPr>
          <w:shd w:fill="auto" w:val="clear"/>
          <w:lang w:val="en-US"/>
        </w:rPr>
        <w:t xml:space="preserve">© </w:t>
      </w:r>
      <w:r>
        <w:rPr>
          <w:shd w:fill="auto" w:val="clear"/>
        </w:rPr>
        <w:t>Belarusian</w:t>
      </w:r>
      <w:r>
        <w:rPr>
          <w:shd w:fill="auto" w:val="clear"/>
          <w:lang w:val="en-US"/>
        </w:rPr>
        <w:t xml:space="preserve"> State</w:t>
      </w:r>
      <w:r>
        <w:rPr>
          <w:shd w:fill="auto" w:val="clear"/>
        </w:rPr>
        <w:t xml:space="preserve"> University</w:t>
      </w:r>
      <w:r>
        <w:rPr>
          <w:shd w:fill="auto" w:val="clear"/>
          <w:lang w:val="en-US"/>
        </w:rPr>
        <w:t xml:space="preserve"> of Informatics and Radioelectronics</w:t>
      </w:r>
      <w:r>
        <w:rPr>
          <w:shd w:fill="auto" w:val="clear"/>
        </w:rPr>
        <w:t>, 202</w:t>
      </w:r>
      <w:r>
        <w:rPr>
          <w:shd w:fill="auto" w:val="clear"/>
          <w:lang w:val="en-US"/>
        </w:rPr>
        <w:t>3</w:t>
      </w:r>
    </w:p>
    <w:p>
      <w:pPr>
        <w:pStyle w:val="Normal"/>
        <w:widowControl w:val="false"/>
        <w:tabs>
          <w:tab w:val="left" w:pos="709" w:leader="none"/>
        </w:tabs>
        <w:spacing w:before="240" w:after="240"/>
        <w:jc w:val="both"/>
        <w:rPr/>
      </w:pPr>
      <w:r>
        <w:rPr>
          <w:rFonts w:eastAsia="Times New Roman"/>
          <w:b/>
          <w:lang w:val="en-US" w:eastAsia="ru-RU"/>
        </w:rPr>
        <w:t xml:space="preserve">Abstract. </w:t>
      </w:r>
      <w:r>
        <w:rPr>
          <w:rFonts w:eastAsia="Times New Roman"/>
          <w:lang w:val="en-US" w:eastAsia="ru-RU"/>
        </w:rPr>
        <w:t xml:space="preserve">This study explores speech emotion recognition (SER) using mel-frequency cepstral coefficients (MFCCs) and Support Vector Machines (SVMs) classifier on the RAVDESS dataset. We proposed a model which uses </w:t>
      </w:r>
      <w:r>
        <w:rPr>
          <w:rFonts w:eastAsia="Times New Roman"/>
          <w:lang w:val="en-US" w:eastAsia="ru-RU"/>
        </w:rPr>
        <w:t>306</w:t>
      </w:r>
      <w:r>
        <w:rPr>
          <w:rFonts w:eastAsia="Times New Roman"/>
          <w:lang w:val="en-US" w:eastAsia="ru-RU"/>
        </w:rPr>
        <w:t>-component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20 to 170 ms). Experimental results demonstrate promising accuracy (UAR = 48%), showcasing the potential of this approach for applications like voice assistants, virtual agents, and mental health diagnostics.</w:t>
      </w:r>
    </w:p>
    <w:p>
      <w:pPr>
        <w:pStyle w:val="Normal"/>
        <w:widowControl w:val="false"/>
        <w:tabs>
          <w:tab w:val="left" w:pos="709" w:leader="none"/>
        </w:tabs>
        <w:spacing w:before="240" w:after="240"/>
        <w:jc w:val="both"/>
        <w:rPr/>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pPr>
        <w:pStyle w:val="Normal"/>
        <w:widowControl w:val="false"/>
        <w:tabs>
          <w:tab w:val="left" w:pos="709" w:leader="none"/>
        </w:tabs>
        <w:spacing w:before="240" w:after="240"/>
        <w:jc w:val="both"/>
        <w:rPr/>
      </w:pPr>
      <w:r>
        <w:rPr>
          <w:rFonts w:eastAsia="Times New Roman"/>
          <w:b/>
          <w:lang w:val="en-US" w:eastAsia="ru-RU"/>
        </w:rPr>
        <w:t>Conflict of interests.</w:t>
      </w:r>
      <w:r>
        <w:rPr>
          <w:rFonts w:eastAsia="Times New Roman"/>
          <w:lang w:val="en-US" w:eastAsia="ru-RU"/>
        </w:rPr>
        <w:t xml:space="preserve"> The authors declare no conflict of interests.</w:t>
      </w:r>
    </w:p>
    <w:p>
      <w:pPr>
        <w:pStyle w:val="Normal"/>
        <w:widowControl w:val="false"/>
        <w:tabs>
          <w:tab w:val="left" w:pos="709" w:leader="none"/>
        </w:tabs>
        <w:spacing w:before="240" w:after="240"/>
        <w:jc w:val="both"/>
        <w:rPr>
          <w:rFonts w:eastAsia="Times New Roman"/>
          <w:b/>
          <w:lang w:val="ru-RU" w:eastAsia="ru-RU"/>
        </w:rPr>
      </w:pPr>
      <w:r>
        <w:rPr>
          <w:rFonts w:eastAsia="Times New Roman"/>
          <w:b/>
          <w:shd w:fill="auto" w:val="clear"/>
          <w:lang w:val="en-US" w:eastAsia="ru-RU"/>
        </w:rPr>
        <w:t xml:space="preserve">For citation. </w:t>
      </w:r>
      <w:r>
        <w:rPr>
          <w:rFonts w:eastAsia="Times New Roman"/>
          <w:shd w:fill="auto" w:val="clear"/>
          <w:lang w:val="en-US" w:eastAsia="ru-RU"/>
        </w:rPr>
        <w:t>Vashkevich M.I., Krasnoproshin D.V., Speech emotion recognition using SVM classifier with suprasegment MFCC features. Doklady</w:t>
      </w:r>
      <w:r>
        <w:rPr>
          <w:rFonts w:eastAsia="Times New Roman"/>
          <w:shd w:fill="auto" w:val="clear"/>
          <w:lang w:val="ru-RU" w:eastAsia="ru-RU"/>
        </w:rPr>
        <w:t xml:space="preserve"> </w:t>
      </w:r>
      <w:r>
        <w:rPr>
          <w:rFonts w:eastAsia="Times New Roman"/>
          <w:shd w:fill="auto" w:val="clear"/>
          <w:lang w:val="en-US" w:eastAsia="ru-RU"/>
        </w:rPr>
        <w:t>BGUIR</w:t>
      </w:r>
      <w:r>
        <w:rPr>
          <w:rFonts w:eastAsia="Times New Roman"/>
          <w:shd w:fill="auto" w:val="clear"/>
          <w:lang w:val="ru-RU" w:eastAsia="ru-RU"/>
        </w:rPr>
        <w:t>. 2023;</w:t>
      </w:r>
      <w:r>
        <w:rPr>
          <w:rFonts w:eastAsia="Times New Roman"/>
          <w:highlight w:val="yellow"/>
          <w:lang w:val="ru-RU" w:eastAsia="ru-RU"/>
        </w:rPr>
        <w:t xml:space="preserve"> **(*): ***-***.</w:t>
      </w:r>
    </w:p>
    <w:p>
      <w:pPr>
        <w:pStyle w:val="Normal"/>
        <w:keepNext w:val="true"/>
        <w:keepLines/>
        <w:numPr>
          <w:ilvl w:val="0"/>
          <w:numId w:val="0"/>
        </w:numPr>
        <w:tabs>
          <w:tab w:val="left" w:pos="709" w:leader="none"/>
        </w:tabs>
        <w:spacing w:before="360" w:after="240"/>
        <w:ind w:hanging="0" w:left="0"/>
        <w:jc w:val="center"/>
        <w:outlineLvl w:val="0"/>
        <w:rPr>
          <w:rFonts w:eastAsia="Times New Roman"/>
          <w:b/>
          <w:kern w:val="2"/>
          <w:sz w:val="22"/>
          <w:lang w:val="ru-RU" w:eastAsia="ru-RU"/>
        </w:rPr>
      </w:pPr>
      <w:r>
        <w:rPr>
          <w:rFonts w:eastAsia="Times New Roman"/>
          <w:b/>
          <w:kern w:val="2"/>
          <w:sz w:val="22"/>
          <w:lang w:val="ru-RU" w:eastAsia="ru-RU"/>
        </w:rPr>
        <w:t>Введение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Область распознавания эмоций по речи быстро развивается в последние десятилетия благодаря росту производительности вычислительных систем и широкому интересу к этому вопросу 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Задача распознавания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эмоциональное состояние водителя [</w:t>
      </w:r>
      <w:r>
        <w:rPr>
          <w:rFonts w:eastAsia="Times New Roman"/>
          <w:sz w:val="22"/>
          <w:szCs w:val="22"/>
          <w:shd w:fill="auto" w:val="clear"/>
          <w:lang w:val="ru-RU"/>
        </w:rPr>
        <w:t>3</w:t>
      </w:r>
      <w:r>
        <w:rPr>
          <w:rFonts w:eastAsia="Times New Roman"/>
          <w:sz w:val="22"/>
          <w:szCs w:val="22"/>
          <w:lang w:val="ru-RU"/>
        </w:rPr>
        <w:t>].</w:t>
      </w:r>
    </w:p>
    <w:p>
      <w:pPr>
        <w:pStyle w:val="Normal"/>
        <w:shd w:val="clear" w:color="auto" w:fill="FFFFFF"/>
        <w:ind w:firstLine="709"/>
        <w:jc w:val="both"/>
        <w:rPr/>
      </w:pPr>
      <w:r>
        <w:rPr>
          <w:rFonts w:eastAsia="Times New Roman"/>
          <w:sz w:val="22"/>
          <w:szCs w:val="22"/>
          <w:lang w:val="ru-RU"/>
        </w:rPr>
        <w:t>В данной работе рассматривается задаче определения эмоций на основе анализа речевого сигнала. Одна из основных проблем данного подхода связана с определением набора признаков, эффективно описывающих эмоциональное стояние диктора [1], [4-6].</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данной работе для построения системы распознавания эмоций предлагается использовать мел-частотны</w:t>
      </w:r>
      <w:r>
        <w:rPr>
          <w:rFonts w:eastAsia="Times New Roman"/>
          <w:sz w:val="22"/>
          <w:szCs w:val="22"/>
          <w:lang w:val="ru-RU"/>
        </w:rPr>
        <w:t>е</w:t>
      </w:r>
      <w:r>
        <w:rPr>
          <w:rFonts w:eastAsia="Times New Roman"/>
          <w:sz w:val="22"/>
          <w:szCs w:val="22"/>
          <w:lang w:val="ru-RU"/>
        </w:rPr>
        <w:t xml:space="preserve"> кепстральны</w:t>
      </w:r>
      <w:r>
        <w:rPr>
          <w:rFonts w:eastAsia="Times New Roman"/>
          <w:sz w:val="22"/>
          <w:szCs w:val="22"/>
          <w:lang w:val="ru-RU"/>
        </w:rPr>
        <w:t>е</w:t>
      </w:r>
      <w:r>
        <w:rPr>
          <w:rFonts w:eastAsia="Times New Roman"/>
          <w:sz w:val="22"/>
          <w:szCs w:val="22"/>
          <w:lang w:val="ru-RU"/>
        </w:rPr>
        <w:t xml:space="preserve"> коэффициент</w:t>
      </w:r>
      <w:r>
        <w:rPr>
          <w:rFonts w:eastAsia="Times New Roman"/>
          <w:sz w:val="22"/>
          <w:szCs w:val="22"/>
          <w:lang w:val="ru-RU"/>
        </w:rPr>
        <w:t>ы</w:t>
      </w:r>
      <w:r>
        <w:rPr>
          <w:rFonts w:eastAsia="Times New Roman"/>
          <w:sz w:val="22"/>
          <w:szCs w:val="22"/>
          <w:lang w:val="ru-RU"/>
        </w:rPr>
        <w:t xml:space="preserve"> (МЧКК) [</w:t>
      </w:r>
      <w:r>
        <w:rPr>
          <w:rFonts w:eastAsia="Times New Roman"/>
          <w:sz w:val="22"/>
          <w:szCs w:val="22"/>
          <w:shd w:fill="auto" w:val="clear"/>
          <w:lang w:val="ru-RU"/>
        </w:rPr>
        <w:t>7</w:t>
      </w:r>
      <w:r>
        <w:rPr>
          <w:rFonts w:eastAsia="Times New Roman"/>
          <w:sz w:val="22"/>
          <w:szCs w:val="22"/>
          <w:lang w:val="ru-RU"/>
        </w:rPr>
        <w:t xml:space="preserve">] для получения признаков и </w:t>
      </w:r>
      <w:r>
        <w:rPr>
          <w:rFonts w:eastAsia="Times New Roman"/>
          <w:sz w:val="22"/>
          <w:szCs w:val="22"/>
          <w:lang w:val="ru-RU"/>
        </w:rPr>
        <w:t>метод</w:t>
      </w:r>
      <w:r>
        <w:rPr>
          <w:rFonts w:eastAsia="Times New Roman"/>
          <w:sz w:val="22"/>
          <w:szCs w:val="22"/>
          <w:lang w:val="ru-RU"/>
        </w:rPr>
        <w:t xml:space="preserve"> опорных векторов (</w:t>
      </w:r>
      <w:r>
        <w:rPr>
          <w:rFonts w:eastAsia="Times New Roman"/>
          <w:sz w:val="22"/>
          <w:szCs w:val="22"/>
          <w:lang w:val="en-US"/>
        </w:rPr>
        <w:t>MO</w:t>
      </w:r>
      <w:r>
        <w:rPr>
          <w:rFonts w:eastAsia="Times New Roman"/>
          <w:sz w:val="22"/>
          <w:szCs w:val="22"/>
          <w:lang w:val="ru-RU"/>
        </w:rPr>
        <w:t>В)</w:t>
      </w:r>
      <w:r>
        <w:rPr>
          <w:rFonts w:eastAsia="Times New Roman"/>
          <w:sz w:val="22"/>
          <w:szCs w:val="22"/>
          <w:lang w:val="en-US"/>
        </w:rPr>
        <w:t xml:space="preserve"> </w:t>
      </w:r>
      <w:r>
        <w:rPr>
          <w:rFonts w:eastAsia="Times New Roman"/>
          <w:sz w:val="22"/>
          <w:szCs w:val="22"/>
          <w:lang w:val="ru-RU"/>
        </w:rPr>
        <w:t>[</w:t>
      </w:r>
      <w:r>
        <w:rPr>
          <w:rFonts w:eastAsia="Times New Roman"/>
          <w:sz w:val="22"/>
          <w:szCs w:val="22"/>
          <w:shd w:fill="auto" w:val="clear"/>
          <w:lang w:val="ru-RU"/>
        </w:rPr>
        <w:t>7</w:t>
      </w:r>
      <w:r>
        <w:rPr>
          <w:rFonts w:eastAsia="Times New Roman"/>
          <w:sz w:val="22"/>
          <w:szCs w:val="22"/>
          <w:lang w:val="ru-RU"/>
        </w:rPr>
        <w:t>] в качестве метода классификации.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Признаки на основе МЧКК широко применяются в системах распознавания эмоций по речи [1, 5]. МЧКК воспроизводят реакцию слуховой системы человека на звук, улавливая соответствующую акустическую информацию [</w:t>
      </w:r>
      <w:r>
        <w:rPr>
          <w:rFonts w:eastAsia="Times New Roman"/>
          <w:sz w:val="22"/>
          <w:szCs w:val="22"/>
          <w:lang w:val="ru-RU"/>
        </w:rPr>
        <w:t>8</w:t>
      </w:r>
      <w:r>
        <w:rPr>
          <w:rFonts w:eastAsia="Times New Roman"/>
          <w:sz w:val="22"/>
          <w:szCs w:val="22"/>
          <w:lang w:val="ru-RU"/>
        </w:rPr>
        <w:t>]. Формируя представление аудиосигнал в частотной области, МЧКК уменьшают размерность данных, сохраняя при этом важные функции, что делает его пригодным для алгоритмов машинного обучения, таких как МОВ. Также, МЧКК устойчивы к шуму и вариациям стилей речи, гарантируя сохранение тонких эмоциональных нюансов в речи.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разделяющей разные классы в пространстве признаков [</w:t>
      </w:r>
      <w:r>
        <w:rPr>
          <w:rFonts w:eastAsia="Times New Roman"/>
          <w:sz w:val="22"/>
          <w:szCs w:val="22"/>
          <w:lang w:val="ru-RU"/>
        </w:rPr>
        <w:t>9</w:t>
      </w:r>
      <w:r>
        <w:rPr>
          <w:rFonts w:eastAsia="Times New Roman"/>
          <w:sz w:val="22"/>
          <w:szCs w:val="22"/>
          <w:lang w:val="ru-RU"/>
        </w:rPr>
        <w:t>]. В контексте распознавания эмоций по речи это означает, что МОВ может эффективно дифференциировать эмоциональные состояния [5]. Кроме того, МОВ может учитывать нелинейные отношения с помощью функций ядра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pPr>
        <w:pStyle w:val="Normal"/>
        <w:ind w:firstLine="567"/>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center"/>
        <w:rPr>
          <w:b/>
          <w:bCs/>
          <w:lang w:val="ru-RU"/>
        </w:rPr>
      </w:pPr>
      <w:r>
        <w:rPr>
          <w:rFonts w:eastAsia="Times New Roman"/>
          <w:b/>
          <w:bCs/>
          <w:sz w:val="22"/>
          <w:szCs w:val="22"/>
          <w:lang w:val="ru-RU"/>
        </w:rPr>
        <w:t>Извлечение речевых признаков</w:t>
      </w:r>
    </w:p>
    <w:p>
      <w:pPr>
        <w:pStyle w:val="Normal"/>
        <w:ind w:firstLine="567"/>
        <w:jc w:val="both"/>
        <w:rPr>
          <w:rFonts w:eastAsia="Times New Roman"/>
          <w:sz w:val="22"/>
          <w:szCs w:val="22"/>
          <w:lang w:val="ru-RU"/>
        </w:rPr>
      </w:pPr>
      <w:r>
        <w:rPr>
          <w:rFonts w:eastAsia="Times New Roman"/>
          <w:sz w:val="22"/>
          <w:szCs w:val="22"/>
          <w:lang w:val="ru-RU"/>
        </w:rPr>
      </w:r>
    </w:p>
    <w:p>
      <w:pPr>
        <w:pStyle w:val="Normal"/>
        <w:ind w:firstLine="567"/>
        <w:jc w:val="both"/>
        <w:rPr/>
      </w:pPr>
      <w:r>
        <w:rPr>
          <w:color w:themeColor="text1" w:val="000000"/>
          <w:sz w:val="22"/>
          <w:szCs w:val="22"/>
        </w:rPr>
        <w:t xml:space="preserve">Первым этапом системы по распознаванию </w:t>
      </w:r>
      <w:r>
        <w:rPr>
          <w:color w:themeColor="text1" w:val="000000"/>
          <w:sz w:val="22"/>
          <w:szCs w:val="22"/>
          <w:lang w:val="ru-RU"/>
        </w:rPr>
        <w:t xml:space="preserve">эмоций по </w:t>
      </w:r>
      <w:r>
        <w:rPr>
          <w:color w:themeColor="text1" w:val="000000"/>
          <w:sz w:val="22"/>
          <w:szCs w:val="22"/>
        </w:rPr>
        <w:t>реч</w:t>
      </w:r>
      <w:r>
        <w:rPr>
          <w:color w:themeColor="text1" w:val="000000"/>
          <w:sz w:val="22"/>
          <w:szCs w:val="22"/>
          <w:lang w:val="ru-RU"/>
        </w:rPr>
        <w:t>и</w:t>
      </w:r>
      <w:r>
        <w:rPr>
          <w:color w:themeColor="text1" w:val="000000"/>
          <w:sz w:val="22"/>
          <w:szCs w:val="22"/>
        </w:rPr>
        <w:t xml:space="preserve"> является предварительная обработка входных </w:t>
      </w:r>
      <w:r>
        <w:rPr>
          <w:color w:themeColor="text1" w:val="000000"/>
          <w:sz w:val="22"/>
          <w:szCs w:val="22"/>
          <w:lang w:val="ru-RU"/>
        </w:rPr>
        <w:t>аудио</w:t>
      </w:r>
      <w:r>
        <w:rPr>
          <w:color w:themeColor="text1" w:val="000000"/>
          <w:sz w:val="22"/>
          <w:szCs w:val="22"/>
        </w:rPr>
        <w:t>данных [1</w:t>
      </w:r>
      <w:r>
        <w:rPr>
          <w:color w:themeColor="text1" w:val="000000"/>
          <w:sz w:val="22"/>
          <w:szCs w:val="22"/>
          <w:lang w:val="ru-RU"/>
        </w:rPr>
        <w:t>, 5</w:t>
      </w:r>
      <w:r>
        <w:rPr>
          <w:color w:themeColor="text1" w:val="000000"/>
          <w:sz w:val="22"/>
          <w:szCs w:val="22"/>
        </w:rPr>
        <w:t xml:space="preserve">]. </w:t>
      </w:r>
      <w:r>
        <w:rPr>
          <w:color w:themeColor="text1" w:val="000000"/>
          <w:sz w:val="22"/>
          <w:szCs w:val="22"/>
          <w:lang w:val="ru-RU"/>
        </w:rPr>
        <w:t xml:space="preserve">В данной работе речевые признаки рассчитывались на основании МЧКК </w:t>
      </w:r>
      <w:r>
        <w:rPr>
          <w:color w:themeColor="text1" w:val="000000"/>
          <w:sz w:val="22"/>
          <w:szCs w:val="22"/>
        </w:rPr>
        <w:t>[</w:t>
      </w:r>
      <w:r>
        <w:rPr>
          <w:color w:themeColor="text1" w:val="000000"/>
          <w:sz w:val="22"/>
          <w:szCs w:val="22"/>
        </w:rPr>
        <w:t>8</w:t>
      </w:r>
      <w:r>
        <w:rPr>
          <w:color w:themeColor="text1" w:val="000000"/>
          <w:sz w:val="22"/>
          <w:szCs w:val="22"/>
        </w:rPr>
        <w:t xml:space="preserve">].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мс голосовой сигнал можно считать стационарным. На рис. 1 представлена схема вычисления МЧКК.</w:t>
      </w:r>
    </w:p>
    <w:p>
      <w:pPr>
        <w:pStyle w:val="Style12"/>
        <w:rPr>
          <w:rFonts w:eastAsia="Times New Roman"/>
        </w:rPr>
      </w:pPr>
      <w:r>
        <mc:AlternateContent>
          <mc:Choice Requires="wps">
            <w:drawing>
              <wp:anchor behindDoc="0" distT="0" distB="0" distL="0" distR="0" simplePos="0" locked="0" layoutInCell="1" allowOverlap="1" relativeHeight="10" wp14:anchorId="4A57659C">
                <wp:simplePos x="0" y="0"/>
                <wp:positionH relativeFrom="column">
                  <wp:posOffset>0</wp:posOffset>
                </wp:positionH>
                <wp:positionV relativeFrom="paragraph">
                  <wp:posOffset>635</wp:posOffset>
                </wp:positionV>
                <wp:extent cx="635000" cy="635000"/>
                <wp:effectExtent l="0" t="0" r="0" b="0"/>
                <wp:wrapNone/>
                <wp:docPr id="4"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05pt;width:49.95pt;height:49.95pt;mso-wrap-style:none;v-text-anchor:middle" wp14:anchorId="4A57659C">
                <v:fill o:detectmouseclick="t" on="false"/>
                <v:stroke color="#3465a4" joinstyle="round" endcap="flat"/>
                <w10:wrap type="none"/>
              </v:rect>
            </w:pict>
          </mc:Fallback>
        </mc:AlternateContent>
      </w:r>
      <w:r>
        <w:rPr/>
        <w:t xml:space="preserve"> </w: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16.2pt;height:154.35pt;mso-wrap-distance-right:0pt" filled="f" o:ole="">
            <v:imagedata r:id="rId6" o:title=""/>
          </v:shape>
          <o:OLEObject Type="Embed" ProgID="Visio.Drawing.15" ShapeID="ole_rId5" DrawAspect="Content" ObjectID="_1811140381" r:id="rId5"/>
        </w:object>
      </w:r>
    </w:p>
    <w:p>
      <w:pPr>
        <w:pStyle w:val="Normal"/>
        <w:shd w:val="clear" w:color="auto" w:fill="FFFFFF"/>
        <w:jc w:val="center"/>
        <w:rPr>
          <w:i/>
          <w:i/>
          <w:highlight w:val="yellow"/>
          <w:lang w:val="ru-RU"/>
        </w:rPr>
      </w:pPr>
      <w:r>
        <w:rPr>
          <w:b/>
          <w:lang w:val="ru-RU"/>
        </w:rPr>
        <w:t>Рис. 1.</w:t>
      </w:r>
      <w:r>
        <w:rPr>
          <w:lang w:val="ru-RU"/>
        </w:rPr>
        <w:t xml:space="preserve"> Схема вычисления мел-частотных кепстральных коэффициентов (МЧКК)</w:t>
      </w:r>
    </w:p>
    <w:p>
      <w:pPr>
        <w:pStyle w:val="Normal"/>
        <w:shd w:val="clear" w:color="auto" w:fill="FFFFFF"/>
        <w:jc w:val="center"/>
        <w:rPr>
          <w:rFonts w:eastAsia="Times New Roman"/>
          <w:lang w:val="en-US"/>
        </w:rPr>
      </w:pPr>
      <w:r>
        <w:rPr>
          <w:rFonts w:eastAsia="Times New Roman"/>
          <w:b/>
          <w:color w:themeColor="text1" w:val="000000"/>
          <w:lang w:val="en-US"/>
        </w:rPr>
        <w:t>Fig. 1.</w:t>
      </w:r>
      <w:r>
        <w:rPr>
          <w:rFonts w:eastAsia="Times New Roman"/>
          <w:color w:themeColor="text1" w:val="000000"/>
          <w:lang w:val="en-US"/>
        </w:rPr>
        <w:t xml:space="preserve"> </w:t>
      </w:r>
      <w:r>
        <w:rPr>
          <w:rStyle w:val="Jlqj4b"/>
          <w:color w:themeColor="text1" w:val="000000"/>
        </w:rPr>
        <w:t>Scheme</w:t>
      </w:r>
      <w:r>
        <w:rPr>
          <w:rStyle w:val="Jlqj4b"/>
          <w:color w:themeColor="text1" w:val="000000"/>
          <w:lang w:val="en-US"/>
        </w:rPr>
        <w:t xml:space="preserve"> </w:t>
      </w:r>
      <w:r>
        <w:rPr>
          <w:rStyle w:val="Jlqj4b"/>
          <w:color w:themeColor="text1" w:val="000000"/>
        </w:rPr>
        <w:t>for</w:t>
      </w:r>
      <w:r>
        <w:rPr>
          <w:rStyle w:val="Jlqj4b"/>
          <w:color w:themeColor="text1" w:val="000000"/>
          <w:lang w:val="en-US"/>
        </w:rPr>
        <w:t xml:space="preserve"> </w:t>
      </w:r>
      <w:r>
        <w:rPr>
          <w:rStyle w:val="Jlqj4b"/>
          <w:color w:themeColor="text1" w:val="000000"/>
        </w:rPr>
        <w:t>calculating</w:t>
      </w:r>
      <w:r>
        <w:rPr>
          <w:rStyle w:val="Jlqj4b"/>
          <w:color w:themeColor="text1" w:val="000000"/>
          <w:lang w:val="en-US"/>
        </w:rPr>
        <w:t xml:space="preserve"> </w:t>
      </w:r>
      <w:r>
        <w:rPr>
          <w:rFonts w:eastAsia="Times New Roman"/>
          <w:color w:themeColor="text1" w:val="000000"/>
          <w:lang w:val="en-US"/>
        </w:rPr>
        <w:t>mel-frequency cepstral coefficients (MFCC)</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rPr>
          <w:color w:themeColor="text1" w:val="000000"/>
          <w:sz w:val="22"/>
          <w:szCs w:val="22"/>
        </w:rPr>
      </w:pPr>
      <w:r>
        <w:rPr>
          <w:color w:themeColor="text1" w:val="000000"/>
          <w:sz w:val="22"/>
          <w:szCs w:val="22"/>
          <w:lang w:val="ru-RU"/>
        </w:rPr>
        <w:t xml:space="preserve">Согласно </w:t>
      </w:r>
      <w:r>
        <w:rPr>
          <w:sz w:val="22"/>
          <w:szCs w:val="22"/>
          <w:lang w:val="ru-RU"/>
        </w:rPr>
        <w:t>рис. 1</w:t>
      </w:r>
      <w:r>
        <w:rPr>
          <w:color w:themeColor="text1" w:val="000000"/>
          <w:sz w:val="22"/>
          <w:szCs w:val="22"/>
          <w:lang w:val="ru-RU"/>
        </w:rPr>
        <w:t xml:space="preserve"> п</w:t>
      </w:r>
      <w:r>
        <w:rPr>
          <w:color w:themeColor="text1" w:val="000000"/>
          <w:sz w:val="22"/>
          <w:szCs w:val="22"/>
        </w:rPr>
        <w:t xml:space="preserve">роцесс извлечения </w:t>
      </w:r>
      <w:r>
        <w:rPr>
          <w:color w:themeColor="text1" w:val="000000"/>
          <w:sz w:val="22"/>
          <w:szCs w:val="22"/>
          <w:lang w:val="ru-RU"/>
        </w:rPr>
        <w:t>МЧКК</w:t>
      </w:r>
      <w:r>
        <w:rPr>
          <w:color w:themeColor="text1" w:val="000000"/>
          <w:sz w:val="22"/>
          <w:szCs w:val="22"/>
        </w:rPr>
        <w:t xml:space="preserve"> включает следующие шаги:</w:t>
      </w:r>
    </w:p>
    <w:p>
      <w:pPr>
        <w:pStyle w:val="Style16"/>
        <w:spacing w:lineRule="auto" w:line="240"/>
        <w:ind w:firstLine="680" w:left="0"/>
        <w:rPr>
          <w:color w:themeColor="text1" w:val="000000"/>
          <w:sz w:val="22"/>
          <w:szCs w:val="22"/>
          <w:lang w:val="ru-RU"/>
        </w:rPr>
      </w:pPr>
      <w:r>
        <w:rPr>
          <w:color w:themeColor="text1" w:val="000000"/>
          <w:sz w:val="22"/>
          <w:szCs w:val="22"/>
        </w:rPr>
        <w:t>1)</w:t>
      </w:r>
      <w:r>
        <w:rPr>
          <w:color w:themeColor="text1" w:val="000000"/>
          <w:sz w:val="22"/>
          <w:szCs w:val="22"/>
          <w:lang w:val="en-US"/>
        </w:rPr>
        <w:t> </w:t>
      </w:r>
      <w:r>
        <w:rPr>
          <w:color w:themeColor="text1" w:val="000000"/>
          <w:sz w:val="22"/>
          <w:szCs w:val="22"/>
          <w:lang w:val="ru-RU"/>
        </w:rPr>
        <w:t>вычисление к</w:t>
      </w:r>
      <w:r>
        <w:rPr>
          <w:color w:themeColor="text1" w:val="000000"/>
          <w:sz w:val="22"/>
          <w:szCs w:val="22"/>
        </w:rPr>
        <w:t>ратковременно</w:t>
      </w:r>
      <w:r>
        <w:rPr>
          <w:color w:themeColor="text1" w:val="000000"/>
          <w:sz w:val="22"/>
          <w:szCs w:val="22"/>
          <w:lang w:val="ru-RU"/>
        </w:rPr>
        <w:t>го</w:t>
      </w:r>
      <w:r>
        <w:rPr>
          <w:color w:themeColor="text1" w:val="000000"/>
          <w:sz w:val="22"/>
          <w:szCs w:val="22"/>
        </w:rPr>
        <w:t xml:space="preserve"> преобразовани</w:t>
      </w:r>
      <w:r>
        <w:rPr>
          <w:color w:themeColor="text1" w:val="000000"/>
          <w:sz w:val="22"/>
          <w:szCs w:val="22"/>
          <w:lang w:val="ru-RU"/>
        </w:rPr>
        <w:t>я</w:t>
      </w:r>
      <w:r>
        <w:rPr>
          <w:color w:themeColor="text1" w:val="000000"/>
          <w:sz w:val="22"/>
          <w:szCs w:val="22"/>
        </w:rPr>
        <w:t xml:space="preserve"> Фурье (КВПФ)</w:t>
      </w:r>
      <w:r>
        <w:rPr>
          <w:color w:themeColor="text1" w:val="000000"/>
          <w:sz w:val="22"/>
          <w:szCs w:val="22"/>
          <w:lang w:val="ru-RU"/>
        </w:rPr>
        <w:t xml:space="preserve"> и нахождение квадрата модуля КВПФ для получения спектрограммы сигнала;</w:t>
      </w:r>
    </w:p>
    <w:p>
      <w:pPr>
        <w:pStyle w:val="Style16"/>
        <w:spacing w:lineRule="auto" w:line="240"/>
        <w:ind w:firstLine="680" w:left="0"/>
        <w:rPr>
          <w:sz w:val="22"/>
          <w:szCs w:val="22"/>
          <w:lang w:val="ru-RU"/>
        </w:rPr>
      </w:pPr>
      <w:r>
        <w:rPr>
          <w:color w:themeColor="text1" w:val="000000"/>
          <w:sz w:val="22"/>
          <w:szCs w:val="22"/>
        </w:rPr>
        <w:t>2)</w:t>
      </w:r>
      <w:r>
        <w:rPr>
          <w:color w:themeColor="text1" w:val="000000"/>
          <w:sz w:val="22"/>
          <w:szCs w:val="22"/>
          <w:lang w:val="en-US"/>
        </w:rPr>
        <w:t> </w:t>
      </w:r>
      <w:r>
        <w:rPr>
          <w:color w:themeColor="text1" w:val="000000"/>
          <w:sz w:val="22"/>
          <w:szCs w:val="22"/>
          <w:lang w:val="ru-RU"/>
        </w:rPr>
        <w:t>вычисление мел-спектрограммы (энергия сигнала из шкалы герц переводится в мел-шкалу, отражающую</w:t>
      </w:r>
      <w:r>
        <w:rPr>
          <w:color w:themeColor="text1" w:val="000000"/>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pPr>
        <w:pStyle w:val="Style16"/>
        <w:spacing w:lineRule="auto" w:line="240"/>
        <w:ind w:firstLine="680" w:left="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 полосах;</w:t>
      </w:r>
    </w:p>
    <w:p>
      <w:pPr>
        <w:pStyle w:val="Style16"/>
        <w:spacing w:lineRule="auto" w:line="240"/>
        <w:ind w:firstLine="680" w:left="0"/>
        <w:rPr>
          <w:sz w:val="22"/>
          <w:szCs w:val="22"/>
        </w:rPr>
      </w:pPr>
      <w:r>
        <w:rPr>
          <w:sz w:val="22"/>
          <w:szCs w:val="22"/>
          <w:lang w:val="ru-RU"/>
        </w:rPr>
        <w:t>4)</w:t>
      </w:r>
      <w:r>
        <w:rPr>
          <w:sz w:val="22"/>
          <w:szCs w:val="22"/>
          <w:lang w:val="en-US"/>
        </w:rPr>
        <w:t> </w:t>
      </w:r>
      <w:r>
        <w:rPr>
          <w:sz w:val="22"/>
          <w:szCs w:val="22"/>
          <w:lang w:val="ru-RU"/>
        </w:rPr>
        <w:t xml:space="preserve">применение </w:t>
      </w:r>
      <w:r>
        <w:rPr>
          <w:color w:themeColor="text1" w:val="000000"/>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второго 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pPr>
        <w:pStyle w:val="Style16"/>
        <w:spacing w:lineRule="auto" w:line="240"/>
        <w:ind w:firstLine="680" w:left="0"/>
        <w:rPr>
          <w:lang w:val="ru-RU"/>
        </w:rPr>
      </w:pPr>
      <w:r>
        <w:rPr>
          <w:sz w:val="22"/>
          <w:szCs w:val="22"/>
          <w:lang w:val="ru-RU"/>
        </w:rPr>
        <w:t>В качестве иллюстрации на рис. 2 показан пример речевого сигнала, выражающего эмоцию гнева.</w:t>
      </w:r>
    </w:p>
    <w:p>
      <w:pPr>
        <w:pStyle w:val="Style12"/>
        <w:rPr>
          <w:lang w:val="be-BY"/>
        </w:rPr>
      </w:pPr>
      <w:r>
        <w:rPr/>
        <w:drawing>
          <wp:inline distT="0" distB="0" distL="0" distR="0">
            <wp:extent cx="4657090" cy="1529715"/>
            <wp:effectExtent l="0" t="0" r="0" b="0"/>
            <wp:docPr id="5"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
                    <pic:cNvPicPr>
                      <a:picLocks noChangeAspect="1" noChangeArrowheads="1"/>
                    </pic:cNvPicPr>
                  </pic:nvPicPr>
                  <pic:blipFill>
                    <a:blip r:embed="rId7"/>
                    <a:stretch>
                      <a:fillRect/>
                    </a:stretch>
                  </pic:blipFill>
                  <pic:spPr bwMode="auto">
                    <a:xfrm>
                      <a:off x="0" y="0"/>
                      <a:ext cx="4657090" cy="1529715"/>
                    </a:xfrm>
                    <a:prstGeom prst="rect">
                      <a:avLst/>
                    </a:prstGeom>
                  </pic:spPr>
                </pic:pic>
              </a:graphicData>
            </a:graphic>
          </wp:inline>
        </w:drawing>
      </w:r>
    </w:p>
    <w:p>
      <w:pPr>
        <w:pStyle w:val="Style12"/>
        <w:rPr>
          <w:lang w:val="be-BY"/>
        </w:rPr>
      </w:pPr>
      <w:r>
        <w:rPr/>
        <w:t>Рис. 2. Представление речевого сигнала, выражающего гнев («Kids are talking by the door»)</w:t>
        <w:br/>
      </w:r>
      <w:r>
        <w:rPr>
          <w:lang w:val="be-BY"/>
        </w:rPr>
        <w:t>Fig. 2. Representation of the speech signal expressing anger</w:t>
      </w:r>
    </w:p>
    <w:p>
      <w:pPr>
        <w:pStyle w:val="Style16"/>
        <w:spacing w:lineRule="auto" w:line="240"/>
        <w:ind w:firstLine="680" w:left="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pPr>
        <w:pStyle w:val="Style12"/>
        <w:rPr/>
      </w:pPr>
      <w:r>
        <w:rPr/>
        <w:drawing>
          <wp:inline distT="0" distB="0" distL="0" distR="0">
            <wp:extent cx="4698365" cy="1816100"/>
            <wp:effectExtent l="0" t="0" r="0" b="0"/>
            <wp:docPr id="6"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2" descr=""/>
                    <pic:cNvPicPr>
                      <a:picLocks noChangeAspect="1" noChangeArrowheads="1"/>
                    </pic:cNvPicPr>
                  </pic:nvPicPr>
                  <pic:blipFill>
                    <a:blip r:embed="rId8"/>
                    <a:stretch>
                      <a:fillRect/>
                    </a:stretch>
                  </pic:blipFill>
                  <pic:spPr bwMode="auto">
                    <a:xfrm>
                      <a:off x="0" y="0"/>
                      <a:ext cx="4698365" cy="1816100"/>
                    </a:xfrm>
                    <a:prstGeom prst="rect">
                      <a:avLst/>
                    </a:prstGeom>
                  </pic:spPr>
                </pic:pic>
              </a:graphicData>
            </a:graphic>
          </wp:inline>
        </w:drawing>
      </w:r>
    </w:p>
    <w:tbl>
      <w:tblPr>
        <w:tblStyle w:val="afa"/>
        <w:tblW w:w="7371" w:type="dxa"/>
        <w:jc w:val="left"/>
        <w:tblInd w:w="851" w:type="dxa"/>
        <w:tblLayout w:type="fixed"/>
        <w:tblCellMar>
          <w:top w:w="0" w:type="dxa"/>
          <w:left w:w="108" w:type="dxa"/>
          <w:bottom w:w="0" w:type="dxa"/>
          <w:right w:w="108" w:type="dxa"/>
        </w:tblCellMar>
        <w:tblLook w:val="04a0" w:noHBand="0" w:noVBand="1" w:firstColumn="1" w:lastRow="0" w:lastColumn="0" w:firstRow="1"/>
      </w:tblPr>
      <w:tblGrid>
        <w:gridCol w:w="3969"/>
        <w:gridCol w:w="3401"/>
      </w:tblGrid>
      <w:tr>
        <w:trPr/>
        <w:tc>
          <w:tcPr>
            <w:tcW w:w="3969" w:type="dxa"/>
            <w:tcBorders>
              <w:top w:val="nil"/>
              <w:left w:val="nil"/>
              <w:bottom w:val="nil"/>
              <w:right w:val="nil"/>
            </w:tcBorders>
          </w:tcPr>
          <w:p>
            <w:pPr>
              <w:pStyle w:val="Normal"/>
              <w:widowControl/>
              <w:suppressAutoHyphens w:val="true"/>
              <w:spacing w:before="0" w:after="0"/>
              <w:jc w:val="center"/>
              <w:rPr>
                <w:lang w:val="ru-RU"/>
              </w:rPr>
            </w:pPr>
            <w:r>
              <w:rPr>
                <w:rFonts w:eastAsia="Calibri" w:cs="Times New Roman"/>
                <w:kern w:val="0"/>
                <w:sz w:val="20"/>
                <w:szCs w:val="20"/>
                <w:lang w:val="ru-RU" w:eastAsia="en-US" w:bidi="ar-SA"/>
              </w:rPr>
              <w:t>а)</w:t>
            </w:r>
          </w:p>
        </w:tc>
        <w:tc>
          <w:tcPr>
            <w:tcW w:w="3401" w:type="dxa"/>
            <w:tcBorders>
              <w:top w:val="nil"/>
              <w:left w:val="nil"/>
              <w:bottom w:val="nil"/>
              <w:right w:val="nil"/>
            </w:tcBorders>
          </w:tcPr>
          <w:p>
            <w:pPr>
              <w:pStyle w:val="Normal"/>
              <w:widowControl/>
              <w:suppressAutoHyphens w:val="true"/>
              <w:spacing w:before="0" w:after="0"/>
              <w:jc w:val="center"/>
              <w:rPr>
                <w:lang w:val="ru-RU"/>
              </w:rPr>
            </w:pPr>
            <w:r>
              <w:rPr>
                <w:rFonts w:eastAsia="Calibri" w:cs="Times New Roman"/>
                <w:kern w:val="0"/>
                <w:sz w:val="20"/>
                <w:szCs w:val="20"/>
                <w:lang w:val="ru-RU" w:eastAsia="en-US" w:bidi="ar-SA"/>
              </w:rPr>
              <w:t>б)</w:t>
            </w:r>
          </w:p>
        </w:tc>
      </w:tr>
    </w:tbl>
    <w:p>
      <w:pPr>
        <w:pStyle w:val="Style12"/>
        <w:rPr/>
      </w:pPr>
      <w:r>
        <w:rPr/>
        <w:t>Рис. 3. речевого сигнала, выражающего гнев: а) спектрограмма (КВПФ), б) мелспектрограмма</w:t>
      </w:r>
    </w:p>
    <w:p>
      <w:pPr>
        <w:pStyle w:val="Style12"/>
        <w:rPr>
          <w:lang w:val="en-US"/>
        </w:rPr>
      </w:pPr>
      <w:r>
        <w:rPr>
          <w:lang w:val="en-US"/>
        </w:rPr>
        <w:t>Fig. 3. Speech signal expressing anger: a) spectrogram (STFT), b) mel-spectrogramm</w:t>
      </w:r>
    </w:p>
    <w:p>
      <w:pPr>
        <w:pStyle w:val="Style16"/>
        <w:spacing w:lineRule="auto" w:line="240"/>
        <w:ind w:firstLine="680" w:left="0"/>
        <w:jc w:val="left"/>
        <w:rPr/>
      </w:pPr>
      <w:r>
        <w:rPr>
          <w:sz w:val="22"/>
          <w:szCs w:val="22"/>
        </w:rPr>
        <w:t xml:space="preserve">На рис. 4 показана временная последовательность MFCC, рассчитанная для сигнала, представленного на рис. </w:t>
      </w:r>
      <w:r>
        <w:rPr>
          <w:sz w:val="22"/>
          <w:szCs w:val="22"/>
          <w:lang w:val="ru-RU"/>
        </w:rPr>
        <w:t>1</w:t>
      </w:r>
      <w:r>
        <w:rPr>
          <w:sz w:val="22"/>
          <w:szCs w:val="22"/>
        </w:rPr>
        <w:t>.</w:t>
      </w:r>
    </w:p>
    <w:p>
      <w:pPr>
        <w:pStyle w:val="Style12"/>
        <w:rPr/>
      </w:pPr>
      <w:r>
        <w:rPr/>
        <w:drawing>
          <wp:inline distT="0" distB="0" distL="0" distR="0">
            <wp:extent cx="4726940" cy="2098675"/>
            <wp:effectExtent l="0" t="0" r="0" b="0"/>
            <wp:docPr id="7"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
                    <pic:cNvPicPr>
                      <a:picLocks noChangeAspect="1" noChangeArrowheads="1"/>
                    </pic:cNvPicPr>
                  </pic:nvPicPr>
                  <pic:blipFill>
                    <a:blip r:embed="rId9"/>
                    <a:stretch>
                      <a:fillRect/>
                    </a:stretch>
                  </pic:blipFill>
                  <pic:spPr bwMode="auto">
                    <a:xfrm>
                      <a:off x="0" y="0"/>
                      <a:ext cx="4726940" cy="2098675"/>
                    </a:xfrm>
                    <a:prstGeom prst="rect">
                      <a:avLst/>
                    </a:prstGeom>
                  </pic:spPr>
                </pic:pic>
              </a:graphicData>
            </a:graphic>
          </wp:inline>
        </w:drawing>
      </w:r>
    </w:p>
    <w:p>
      <w:pPr>
        <w:pStyle w:val="Style12"/>
        <w:rPr/>
      </w:pPr>
      <w:r>
        <w:rPr/>
        <w:t>Рис. 4. Временная последовательность МЧКК</w:t>
      </w:r>
    </w:p>
    <w:p>
      <w:pPr>
        <w:pStyle w:val="Style12"/>
        <w:rPr/>
      </w:pPr>
      <w:r>
        <w:rPr/>
        <w:t>Fig. 4. Time-sequence of MFCC</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r>
        <w:rPr>
          <w:rFonts w:eastAsia="Times New Roman"/>
          <w:sz w:val="22"/>
          <w:szCs w:val="22"/>
          <w:lang w:val="ru-RU"/>
        </w:rPr>
        <w:t xml:space="preserve">ibrosa написанная на языке Python. КВПФ рассчитывается с использованием следующего набора размеров фреймов </w:t>
        <w:br/>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1024</m:t>
        </m:r>
        <m:r>
          <w:rPr>
            <w:rFonts w:ascii="Cambria Math" w:hAnsi="Cambria Math"/>
          </w:rPr>
          <m:t xml:space="preserve">,</m:t>
        </m:r>
        <m:r>
          <w:rPr>
            <w:rFonts w:ascii="Cambria Math" w:hAnsi="Cambria Math"/>
          </w:rPr>
          <m:t xml:space="preserve">2048</m:t>
        </m:r>
        <m:r>
          <w:rPr>
            <w:rFonts w:ascii="Cambria Math" w:hAnsi="Cambria Math"/>
          </w:rPr>
          <m:t xml:space="preserve">,</m:t>
        </m:r>
        <m:r>
          <w:rPr>
            <w:rFonts w:ascii="Cambria Math" w:hAnsi="Cambria Math"/>
          </w:rPr>
          <m:t xml:space="preserve">4096</m:t>
        </m:r>
        <m:r>
          <w:rPr>
            <w:rFonts w:ascii="Cambria Math" w:hAnsi="Cambria Math"/>
          </w:rPr>
          <m:t xml:space="preserve">,</m:t>
        </m:r>
        <m:r>
          <w:rPr>
            <w:rFonts w:ascii="Cambria Math" w:hAnsi="Cambria Math"/>
          </w:rPr>
          <m:t xml:space="preserve">8192</m:t>
        </m:r>
        <m:r>
          <w:rPr>
            <w:rFonts w:ascii="Cambria Math" w:hAnsi="Cambria Math"/>
          </w:rPr>
          <m:t xml:space="preserve">}</m:t>
        </m:r>
      </m:oMath>
      <w:r>
        <w:rPr>
          <w:rFonts w:eastAsia="Times New Roman"/>
          <w:sz w:val="22"/>
          <w:szCs w:val="22"/>
          <w:lang w:val="ru-RU"/>
        </w:rPr>
        <w:t xml:space="preserve">. Размер перекрытия между фреймами брался равным 50% от размера фрейма. Из каждого фрейма извлекалось 40 МЧКК. После обработки одного аудиофайла мы получаем матрицу </w:t>
      </w:r>
      <w:r>
        <w:rPr/>
      </w:r>
      <m:oMath xmlns:m="http://schemas.openxmlformats.org/officeDocument/2006/math">
        <m:r>
          <w:rPr>
            <w:rFonts w:ascii="Cambria Math" w:hAnsi="Cambria Math"/>
          </w:rPr>
          <m:t xml:space="preserve">M</m:t>
        </m:r>
      </m:oMath>
      <w:r>
        <w:rPr>
          <w:rFonts w:eastAsia="Times New Roman"/>
          <w:sz w:val="22"/>
          <w:szCs w:val="22"/>
          <w:lang w:val="ru-RU"/>
        </w:rPr>
        <w:t xml:space="preserve"> МЧКК размером </w:t>
      </w:r>
      <w:r>
        <w:rPr/>
      </w:r>
      <m:oMath xmlns:m="http://schemas.openxmlformats.org/officeDocument/2006/math">
        <m:r>
          <w:rPr>
            <w:rFonts w:ascii="Cambria Math" w:hAnsi="Cambria Math"/>
          </w:rPr>
          <m:t xml:space="preserve">40</m:t>
        </m:r>
        <m:r>
          <w:rPr>
            <w:rFonts w:ascii="Cambria Math" w:hAnsi="Cambria Math"/>
          </w:rPr>
          <m:t xml:space="preserve">×</m:t>
        </m:r>
        <m:sSub>
          <m:e>
            <m:r>
              <w:rPr>
                <w:rFonts w:ascii="Cambria Math" w:hAnsi="Cambria Math"/>
              </w:rPr>
              <m:t xml:space="preserve">N</m:t>
            </m:r>
          </m:e>
          <m:sub>
            <m:r>
              <w:rPr>
                <w:rFonts w:ascii="Cambria Math" w:hAnsi="Cambria Math"/>
              </w:rPr>
              <m:t xml:space="preserve">frames</m:t>
            </m:r>
          </m:sub>
        </m:sSub>
      </m:oMath>
      <w:r>
        <w:rPr>
          <w:rFonts w:eastAsia="Times New Roman"/>
          <w:sz w:val="22"/>
          <w:szCs w:val="22"/>
          <w:lang w:val="ru-RU"/>
        </w:rPr>
        <w:t xml:space="preserve">, где </w:t>
      </w:r>
      <w:r>
        <w:rPr/>
      </w:r>
      <m:oMath xmlns:m="http://schemas.openxmlformats.org/officeDocument/2006/math">
        <m:sSub>
          <m:e>
            <m:r>
              <w:rPr>
                <w:rFonts w:ascii="Cambria Math" w:hAnsi="Cambria Math"/>
              </w:rPr>
              <m:t xml:space="preserve">N</m:t>
            </m:r>
          </m:e>
          <m:sub>
            <m:r>
              <w:rPr>
                <w:rFonts w:ascii="Cambria Math" w:hAnsi="Cambria Math"/>
              </w:rPr>
              <m:t xml:space="preserve">frames</m:t>
            </m:r>
          </m:sub>
        </m:sSub>
      </m:oMath>
      <w:r>
        <w:rPr>
          <w:rFonts w:eastAsia="Times New Roman"/>
          <w:sz w:val="22"/>
          <w:szCs w:val="22"/>
          <w:lang w:val="ru-RU"/>
        </w:rPr>
        <w:t xml:space="preserve"> – количество фреймов. Таким образом, </w:t>
      </w:r>
      <w:r>
        <w:rPr/>
      </w:r>
      <m:oMath xmlns:m="http://schemas.openxmlformats.org/officeDocument/2006/math">
        <m:r>
          <w:rPr>
            <w:rFonts w:ascii="Cambria Math" w:hAnsi="Cambria Math"/>
          </w:rPr>
          <m:t xml:space="preserve">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w:r>
        <w:rPr/>
      </w:r>
      <m:oMath xmlns:m="http://schemas.openxmlformats.org/officeDocument/2006/math">
        <m:r>
          <w:rPr>
            <w:rFonts w:ascii="Cambria Math" w:hAnsi="Cambria Math"/>
          </w:rPr>
          <m:t xml:space="preserve">m</m:t>
        </m:r>
      </m:oMath>
      <w:r>
        <w:rPr>
          <w:rFonts w:eastAsia="Times New Roman"/>
          <w:sz w:val="22"/>
          <w:szCs w:val="22"/>
          <w:lang w:val="ru-RU"/>
        </w:rPr>
        <w:t>.</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w:r>
        <w:rPr/>
      </w:r>
      <m:oMath xmlns:m="http://schemas.openxmlformats.org/officeDocument/2006/math">
        <m:r>
          <w:rPr>
            <w:rFonts w:ascii="Cambria Math" w:hAnsi="Cambria Math"/>
          </w:rPr>
          <m:t xml:space="preserve">M</m:t>
        </m:r>
      </m:oMath>
      <w:r>
        <w:rPr>
          <w:rFonts w:eastAsia="Times New Roman"/>
          <w:sz w:val="22"/>
          <w:szCs w:val="22"/>
          <w:lang w:val="ru-RU"/>
        </w:rPr>
        <w:t xml:space="preserve"> рассчитывался вектор признаков фиксированной длины.</w:t>
      </w:r>
    </w:p>
    <w:p>
      <w:pPr>
        <w:pStyle w:val="Normal"/>
        <w:shd w:val="clear" w:color="auto" w:fill="FFFFFF"/>
        <w:ind w:firstLine="709"/>
        <w:jc w:val="both"/>
        <w:rPr/>
      </w:pPr>
      <w:r>
        <w:rPr>
          <w:rFonts w:eastAsia="Times New Roman"/>
          <w:sz w:val="22"/>
          <w:szCs w:val="22"/>
          <w:shd w:fill="auto" w:val="clear"/>
          <w:lang w:val="ru-RU"/>
        </w:rPr>
        <w:t xml:space="preserve">Чтобы получить единый вектор признаков для каждого аудиофайла, мы вычисляем средние </w:t>
      </w:r>
      <w:r>
        <w:rPr>
          <w:rFonts w:eastAsia="Times New Roman"/>
          <w:sz w:val="22"/>
          <w:szCs w:val="22"/>
          <w:shd w:fill="auto" w:val="clear"/>
          <w:lang w:val="ru-RU"/>
        </w:rPr>
        <w:t>(34 признака)</w:t>
      </w:r>
      <w:r>
        <w:rPr>
          <w:rFonts w:eastAsia="Times New Roman"/>
          <w:sz w:val="22"/>
          <w:szCs w:val="22"/>
          <w:shd w:fill="auto" w:val="clear"/>
          <w:lang w:val="ru-RU"/>
        </w:rPr>
        <w:t xml:space="preserve"> и стандартные значения</w:t>
      </w:r>
      <w:r>
        <w:rPr>
          <w:rFonts w:eastAsia="Times New Roman"/>
          <w:sz w:val="22"/>
          <w:szCs w:val="22"/>
          <w:shd w:fill="auto" w:val="clear"/>
          <w:lang w:val="ru-RU"/>
        </w:rPr>
        <w:t xml:space="preserve"> (34 признака)</w:t>
      </w:r>
      <w:r>
        <w:rPr>
          <w:rFonts w:eastAsia="Times New Roman"/>
          <w:sz w:val="22"/>
          <w:szCs w:val="22"/>
          <w:shd w:fill="auto" w:val="clear"/>
          <w:lang w:val="ru-RU"/>
        </w:rPr>
        <w:t xml:space="preserve"> для МЧКК в матрице M вдоль оси времени.</w:t>
      </w:r>
    </w:p>
    <w:p>
      <w:pPr>
        <w:pStyle w:val="Normal"/>
        <w:shd w:val="clear" w:color="auto" w:fill="FFFFFF"/>
        <w:ind w:firstLine="709"/>
        <w:jc w:val="both"/>
        <w:rPr/>
      </w:pPr>
      <w:r>
        <w:rPr>
          <w:rFonts w:eastAsia="Times New Roman"/>
          <w:sz w:val="22"/>
          <w:szCs w:val="22"/>
          <w:shd w:fill="auto" w:val="clear"/>
          <w:lang w:val="ru-RU"/>
        </w:rPr>
        <w:t>Стандартные значения МЧЧК затем используются для расчета среднеквадратического отклонения (СКО) МЧКК. Это может быть полезно, так как СКО может использоваться для анализа изменчивости или для оценки степени изменения в различных сегментах звукового сигнала.</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Более того, к вектору признаков также добавляются первая и вторая производные от </w:t>
      </w:r>
      <w:r>
        <w:rPr>
          <w:rFonts w:eastAsia="Times New Roman"/>
          <w:sz w:val="22"/>
          <w:szCs w:val="22"/>
          <w:lang w:val="ru-RU"/>
        </w:rPr>
        <w:t>стандартного</w:t>
      </w:r>
      <w:r>
        <w:rPr>
          <w:rFonts w:eastAsia="Times New Roman"/>
          <w:sz w:val="22"/>
          <w:szCs w:val="22"/>
          <w:lang w:val="ru-RU"/>
        </w:rPr>
        <w:t xml:space="preserve"> МЧКК. В данном контексте, извлечение первой и второй производных (первой и второй разности) из MFCC коэффициентов имеет физический смысл и помогает в анализе и классификации аудиосигналов.</w:t>
      </w:r>
    </w:p>
    <w:p>
      <w:pPr>
        <w:pStyle w:val="Normal"/>
        <w:shd w:val="clear" w:color="auto" w:fill="FFFFFF"/>
        <w:ind w:firstLine="709"/>
        <w:jc w:val="both"/>
        <w:rPr>
          <w:rFonts w:eastAsia="Times New Roman"/>
          <w:i/>
          <w:i/>
          <w:iCs/>
          <w:sz w:val="22"/>
          <w:szCs w:val="22"/>
          <w:lang w:val="ru-RU"/>
        </w:rPr>
      </w:pPr>
      <w:r>
        <w:rPr>
          <w:rFonts w:eastAsia="Times New Roman"/>
          <w:i/>
          <w:iCs/>
          <w:sz w:val="22"/>
          <w:szCs w:val="22"/>
          <w:lang w:val="ru-RU"/>
        </w:rPr>
        <w:t>Первая производная (первая разность):</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MFCC коэффициентов представляет собой скорость изменения каждого MFCC коэффициента во времени. Физический смысл первой производной может быть ассоциирован с изменением спектральных характеристик звука во времени. Например, она может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pPr>
        <w:pStyle w:val="Normal"/>
        <w:shd w:val="clear" w:color="auto" w:fill="FFFFFF"/>
        <w:ind w:firstLine="709"/>
        <w:jc w:val="both"/>
        <w:rPr>
          <w:rFonts w:eastAsia="Times New Roman"/>
          <w:i/>
          <w:i/>
          <w:iCs/>
          <w:sz w:val="22"/>
          <w:szCs w:val="22"/>
          <w:lang w:val="ru-RU"/>
        </w:rPr>
      </w:pPr>
      <w:r>
        <w:rPr>
          <w:rFonts w:eastAsia="Times New Roman"/>
          <w:i/>
          <w:iCs/>
          <w:sz w:val="22"/>
          <w:szCs w:val="22"/>
          <w:lang w:val="ru-RU"/>
        </w:rPr>
        <w:t>Вторая производная (вторая разность):</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MFCC коэффициентов представляет собой ускорение изменения каждого MFCC коэффициента во времени. Физический смысл второй производной может быть связан с изменением ускорения звука. Например, это может помочь выявить моменты, когда звук начинает быстро увеличиваться или уменьшаться в частоте.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Применение производных MFCC коэффициентов может улучшить способность системы распознавания речи или звукового анализа в обнаружении и классификации различных аудиосигналов.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целом, извлечение производных MFCC коэффициентов позволяет внести в анализ аудиосигнала информацию о его динамике и изменениях во времени, что может улучшить способность системы обработки звука распознавать и классифицировать различные звуковые события.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Помимо МЧКК, их первой и второй производных, </w:t>
      </w:r>
      <w:r>
        <w:rPr>
          <w:rFonts w:eastAsia="Times New Roman"/>
          <w:sz w:val="22"/>
          <w:szCs w:val="22"/>
          <w:lang w:val="ru-RU"/>
        </w:rPr>
        <w:t>а также их стандартных отклонений</w:t>
      </w:r>
      <w:r>
        <w:rPr>
          <w:rFonts w:eastAsia="Times New Roman"/>
          <w:sz w:val="22"/>
          <w:szCs w:val="22"/>
          <w:lang w:val="ru-RU"/>
        </w:rPr>
        <w:t xml:space="preserve"> были рассчитаны следующие статистические показатели </w:t>
      </w:r>
      <w:r>
        <w:rPr>
          <w:rFonts w:eastAsia="Times New Roman"/>
          <w:sz w:val="22"/>
          <w:szCs w:val="22"/>
          <w:lang w:val="ru-RU"/>
        </w:rPr>
        <w:t>(с использвание)</w:t>
      </w:r>
      <w:r>
        <w:rPr>
          <w:rFonts w:eastAsia="Times New Roman"/>
          <w:sz w:val="22"/>
          <w:szCs w:val="22"/>
          <w:lang w:val="ru-RU"/>
        </w:rPr>
        <w:t>:</w:t>
      </w:r>
    </w:p>
    <w:p>
      <w:pPr>
        <w:pStyle w:val="Normal"/>
        <w:shd w:val="clear" w:color="auto" w:fill="FFFFFF"/>
        <w:ind w:firstLine="709"/>
        <w:jc w:val="both"/>
        <w:rPr>
          <w:b/>
          <w:bCs/>
        </w:rPr>
      </w:pPr>
      <w:r>
        <w:rPr>
          <w:rFonts w:eastAsia="Times New Roman"/>
          <w:b/>
          <w:bCs/>
          <w:sz w:val="22"/>
          <w:szCs w:val="22"/>
          <w:lang w:val="ru-RU"/>
        </w:rPr>
        <w:t xml:space="preserve">1) </w:t>
      </w:r>
      <w:r>
        <w:rPr>
          <w:rFonts w:eastAsia="Times New Roman"/>
          <w:b/>
          <w:bCs/>
          <w:sz w:val="22"/>
          <w:szCs w:val="22"/>
          <w:lang w:val="ru-RU"/>
        </w:rPr>
        <w:t>К</w:t>
      </w:r>
      <w:r>
        <w:rPr>
          <w:rFonts w:eastAsia="Times New Roman"/>
          <w:b/>
          <w:bCs/>
          <w:i w:val="false"/>
          <w:iCs w:val="false"/>
          <w:sz w:val="22"/>
          <w:szCs w:val="22"/>
          <w:lang w:val="ru-RU"/>
        </w:rPr>
        <w:t>оэффициент асимметрии</w:t>
      </w:r>
      <w:r>
        <w:rPr>
          <w:rFonts w:eastAsia="Times New Roman"/>
          <w:b/>
          <w:bCs/>
          <w:sz w:val="22"/>
          <w:szCs w:val="22"/>
          <w:lang w:val="ru-RU"/>
        </w:rPr>
        <w:t xml:space="preserve"> (</w:t>
      </w:r>
      <w:r>
        <w:rPr>
          <w:rFonts w:eastAsia="Times New Roman"/>
          <w:b/>
          <w:bCs/>
          <w:i/>
          <w:iCs/>
          <w:sz w:val="22"/>
          <w:szCs w:val="22"/>
          <w:lang w:val="en-US"/>
        </w:rPr>
        <w:t>s</w:t>
      </w:r>
      <w:r>
        <w:rPr>
          <w:rFonts w:eastAsia="Times New Roman"/>
          <w:b/>
          <w:bCs/>
          <w:i/>
          <w:iCs/>
          <w:sz w:val="22"/>
          <w:szCs w:val="22"/>
          <w:lang w:val="ru-RU"/>
        </w:rPr>
        <w:t>kewness</w:t>
      </w:r>
      <w:r>
        <w:rPr>
          <w:rFonts w:eastAsia="Times New Roman"/>
          <w:b/>
          <w:bCs/>
          <w:sz w:val="22"/>
          <w:szCs w:val="22"/>
          <w:lang w:val="ru-RU"/>
        </w:rPr>
        <w:t>).</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Существует несколько разных способов вычислить ассиметрию, но самым часто используемым является формула моментов:</w:t>
      </w:r>
    </w:p>
    <w:p>
      <w:pPr>
        <w:pStyle w:val="Normal"/>
        <w:shd w:val="clear" w:color="auto" w:fill="FFFFFF"/>
        <w:ind w:firstLine="709"/>
        <w:jc w:val="center"/>
        <w:rPr>
          <w:rFonts w:eastAsia="Times New Roman"/>
          <w:sz w:val="22"/>
          <w:szCs w:val="22"/>
          <w:lang w:val="ru-RU"/>
        </w:rPr>
      </w:pPr>
      <w:r>
        <w:rPr/>
      </w:r>
      <m:oMathPara xmlns:m="http://schemas.openxmlformats.org/officeDocument/2006/math">
        <m:oMathParaPr>
          <m:jc m:val="center"/>
        </m:oMathParaPr>
        <m:oMath>
          <m:r>
            <w:rPr>
              <w:rFonts w:ascii="Cambria Math" w:hAnsi="Cambria Math"/>
            </w:rPr>
            <m:t xml:space="preserve">skewness</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n</m:t>
                  </m:r>
                </m:den>
              </m:f>
            </m:e>
          </m:d>
          <m:r>
            <w:rPr>
              <w:rFonts w:ascii="Cambria Math" w:hAnsi="Cambria Math"/>
            </w:rPr>
            <m:t xml:space="preserve">∗</m:t>
          </m:r>
          <m:nary>
            <m:naryPr>
              <m:chr m:val="∑"/>
              <m:subHide m:val="1"/>
              <m:supHide m:val="1"/>
            </m:naryPr>
            <m:sub/>
            <m:sup/>
            <m:e>
              <m:d>
                <m:dPr>
                  <m:begChr m:val="("/>
                  <m:endChr m:val=")"/>
                </m:dPr>
                <m:e>
                  <m:f>
                    <m:num>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sup>
                          <m:r>
                            <w:rPr>
                              <w:rFonts w:ascii="Cambria Math" w:hAnsi="Cambria Math"/>
                            </w:rPr>
                            <m:t xml:space="preserve">3</m:t>
                          </m:r>
                        </m:sup>
                      </m:sSup>
                    </m:num>
                    <m:den>
                      <m:sSup>
                        <m:e>
                          <m:r>
                            <w:rPr>
                              <w:rFonts w:ascii="Cambria Math" w:hAnsi="Cambria Math"/>
                            </w:rPr>
                            <m:t xml:space="preserve">s</m:t>
                          </m:r>
                        </m:e>
                        <m:sup>
                          <m:r>
                            <w:rPr>
                              <w:rFonts w:ascii="Cambria Math" w:hAnsi="Cambria Math"/>
                            </w:rPr>
                            <m:t xml:space="preserve">3</m:t>
                          </m:r>
                        </m:sup>
                      </m:sSup>
                    </m:den>
                  </m:f>
                </m:e>
              </m:d>
            </m:e>
          </m:nary>
        </m:oMath>
      </m:oMathPara>
    </w:p>
    <w:p>
      <w:pPr>
        <w:pStyle w:val="Normal"/>
        <w:shd w:val="clear" w:color="auto" w:fill="FFFFFF"/>
        <w:ind w:firstLine="709"/>
        <w:jc w:val="both"/>
        <w:rPr>
          <w:rFonts w:eastAsia="Times New Roman"/>
          <w:sz w:val="22"/>
          <w:szCs w:val="22"/>
          <w:lang w:val="ru-RU"/>
        </w:rPr>
      </w:pPr>
      <w:r>
        <w:rPr>
          <w:rFonts w:eastAsia="Times New Roman"/>
          <w:sz w:val="22"/>
          <w:szCs w:val="22"/>
          <w:lang w:val="ru-RU"/>
        </w:rPr>
        <w:t>где X</w:t>
      </w:r>
      <w:r>
        <w:rPr>
          <w:rFonts w:eastAsia="Times New Roman"/>
          <w:sz w:val="22"/>
          <w:szCs w:val="22"/>
          <w:vertAlign w:val="subscript"/>
          <w:lang w:val="ru-RU"/>
        </w:rPr>
        <w:t>i</w:t>
      </w:r>
      <w:r>
        <w:rPr>
          <w:rFonts w:eastAsia="Times New Roman"/>
          <w:sz w:val="22"/>
          <w:szCs w:val="22"/>
          <w:lang w:val="ru-RU"/>
        </w:rPr>
        <w:t xml:space="preserve"> - значения случайной величины,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Значение skewness позволяет определить, является ли распределение симметричным (skewness близка к 0) или асимметричным (skewness отличается от 0). Если skewness положительна, то распределение смещено вправо (большинство значений находится в левой части графика), а если skewness отрицательна, то распределение смещено влево (большинство значений находится в правой части графика).</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мел-частотных кепстральных коэффициентов (MFCC) асимметрия может предоставить информацию о форме распределения коэффициентов и подчеркнуть определенные аспекты вариабельности звукового сигнала.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контексте задач распознавания эмоций в речи это может быть полезным по нескольким причинам:</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Отражение эмоциональных особенностей: к</w:t>
      </w:r>
      <w:r>
        <w:rPr>
          <w:rFonts w:eastAsia="Times New Roman"/>
          <w:sz w:val="22"/>
          <w:szCs w:val="22"/>
          <w:lang w:val="ru-RU"/>
        </w:rPr>
        <w:t>оэффициент асимметрии может отразить, насколько сильно эмоциональные состояния влияют на интонации в речи. Высокая асимметрия может указывать на ярко выраженные и отличительные интонации, что может быть связано с определенными эмоциями.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Анализ изменчивости интонаций:</w:t>
      </w:r>
      <w:r>
        <w:rPr>
          <w:rFonts w:eastAsia="Times New Roman"/>
          <w:sz w:val="22"/>
          <w:szCs w:val="22"/>
          <w:lang w:val="ru-RU"/>
        </w:rPr>
        <w:t xml:space="preserve"> коэффициент асимметрии может также служить индикатором степени изменчивости в интонациях. Высокая асимметрия может указывать на более выраженные и неоднородные изменения в интонациях, что может быть связано с более динамичными эмоциональными состояниями.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w:t>
      </w:r>
      <w:r>
        <w:rPr>
          <w:rFonts w:eastAsia="Times New Roman"/>
          <w:i/>
          <w:iCs/>
          <w:sz w:val="22"/>
          <w:szCs w:val="22"/>
          <w:lang w:val="ru-RU"/>
        </w:rPr>
        <w:t>Различение эмоциональных состояний:</w:t>
      </w:r>
      <w:r>
        <w:rPr>
          <w:rFonts w:eastAsia="Times New Roman"/>
          <w:sz w:val="22"/>
          <w:szCs w:val="22"/>
          <w:lang w:val="ru-RU"/>
        </w:rPr>
        <w:t xml:space="preserve"> различные эмоциональные состояния могут проявляться в различных формах асимметрии в распределении интонаций. Анализ коэффициента асимметрии может помочь выявить характерные особенности распределения для каждой эмоции.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г) </w:t>
      </w:r>
      <w:r>
        <w:rPr>
          <w:rFonts w:eastAsia="Times New Roman"/>
          <w:i/>
          <w:iCs/>
          <w:sz w:val="22"/>
          <w:szCs w:val="22"/>
          <w:lang w:val="ru-RU"/>
        </w:rPr>
        <w:t>Определение аномалий</w:t>
      </w:r>
      <w:r>
        <w:rPr>
          <w:rFonts w:eastAsia="Times New Roman"/>
          <w:sz w:val="22"/>
          <w:szCs w:val="22"/>
          <w:lang w:val="ru-RU"/>
        </w:rPr>
        <w:t>: аномальные эмоциональные состояния могут проявляться в отклонениях от нормальной симметрии. Высокая асимметрия может указывать на наличие аномалий в интонациях, которые могут быть связаны с необычными эмоциональными выражениями.</w:t>
      </w:r>
    </w:p>
    <w:p>
      <w:pPr>
        <w:pStyle w:val="Normal"/>
        <w:shd w:val="clear" w:color="auto" w:fill="FFFFFF"/>
        <w:ind w:firstLine="709"/>
        <w:jc w:val="both"/>
        <w:rPr>
          <w:rFonts w:eastAsia="Times New Roman"/>
          <w:sz w:val="22"/>
          <w:szCs w:val="22"/>
          <w:lang w:val="ru-RU"/>
        </w:rPr>
      </w:pPr>
      <w:r>
        <w:rPr/>
      </w:r>
    </w:p>
    <w:p>
      <w:pPr>
        <w:pStyle w:val="Normal"/>
        <w:shd w:val="clear" w:color="auto" w:fill="FFFFFF"/>
        <w:ind w:firstLine="709"/>
        <w:jc w:val="both"/>
        <w:rPr>
          <w:b/>
          <w:bCs/>
        </w:rPr>
      </w:pPr>
      <w:r>
        <w:rPr>
          <w:rFonts w:eastAsia="Times New Roman"/>
          <w:b/>
          <w:bCs/>
          <w:sz w:val="22"/>
          <w:szCs w:val="22"/>
          <w:lang w:val="ru-RU"/>
        </w:rPr>
        <w:t>2)</w:t>
      </w:r>
      <w:r>
        <w:rPr>
          <w:rFonts w:eastAsia="Times New Roman"/>
          <w:b/>
          <w:bCs/>
          <w:sz w:val="22"/>
          <w:szCs w:val="22"/>
          <w:lang w:val="en-US"/>
        </w:rPr>
        <w:t xml:space="preserve"> </w:t>
      </w:r>
      <w:r>
        <w:rPr>
          <w:rFonts w:eastAsia="Times New Roman"/>
          <w:b/>
          <w:bCs/>
          <w:sz w:val="22"/>
          <w:szCs w:val="22"/>
          <w:lang w:val="ru-RU"/>
        </w:rPr>
        <w:t xml:space="preserve">Эксцесс </w:t>
      </w:r>
      <w:r>
        <w:rPr>
          <w:b/>
          <w:bCs/>
        </w:rPr>
        <w:t>(</w:t>
      </w:r>
      <w:r>
        <w:rPr>
          <w:b/>
          <w:bCs/>
          <w:i w:val="false"/>
          <w:iCs w:val="false"/>
        </w:rPr>
        <w:t>Kurtosis</w:t>
      </w:r>
      <w:r>
        <w:rPr>
          <w:b/>
          <w:bCs/>
        </w:rPr>
        <w:t>).</w:t>
      </w:r>
    </w:p>
    <w:p>
      <w:pPr>
        <w:pStyle w:val="Normal"/>
        <w:shd w:val="clear" w:color="auto" w:fill="FFFFFF"/>
        <w:ind w:firstLine="709"/>
        <w:jc w:val="both"/>
        <w:rPr>
          <w:rFonts w:eastAsia="Times New Roman"/>
          <w:sz w:val="22"/>
          <w:szCs w:val="22"/>
          <w:lang w:val="ru-RU"/>
        </w:rPr>
      </w:pPr>
      <w:r>
        <w:rPr>
          <w:sz w:val="22"/>
          <w:szCs w:val="22"/>
        </w:rPr>
        <w:t>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p>
    <w:p>
      <w:pPr>
        <w:pStyle w:val="Normal"/>
        <w:shd w:val="clear" w:color="auto" w:fill="FFFFFF"/>
        <w:ind w:firstLine="709"/>
        <w:jc w:val="both"/>
        <w:rPr>
          <w:sz w:val="22"/>
          <w:szCs w:val="22"/>
        </w:rPr>
      </w:pPr>
      <w:r>
        <w:rPr>
          <w:sz w:val="22"/>
          <w:szCs w:val="22"/>
        </w:rPr>
        <w:t>Существуют несколько разных способов вычислить эксцесс, но самым распространенным является формула моментов:</w:t>
      </w:r>
    </w:p>
    <w:p>
      <w:pPr>
        <w:pStyle w:val="Normal"/>
        <w:shd w:val="clear" w:color="auto" w:fill="FFFFFF"/>
        <w:ind w:firstLine="709"/>
        <w:jc w:val="center"/>
        <w:rPr/>
      </w:pPr>
      <w:r>
        <w:rPr/>
      </w:r>
      <m:oMathPara xmlns:m="http://schemas.openxmlformats.org/officeDocument/2006/math">
        <m:oMathParaPr>
          <m:jc m:val="center"/>
        </m:oMathParaPr>
        <m:oMath>
          <m:r>
            <w:rPr>
              <w:rFonts w:ascii="Cambria Math" w:hAnsi="Cambria Math"/>
            </w:rPr>
            <m:t xml:space="preserve">kurtosis</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n</m:t>
                  </m:r>
                </m:den>
              </m:f>
            </m:e>
          </m:d>
          <m:r>
            <w:rPr>
              <w:rFonts w:ascii="Cambria Math" w:hAnsi="Cambria Math"/>
            </w:rPr>
            <m:t xml:space="preserve">∗</m:t>
          </m:r>
          <m:nary>
            <m:naryPr>
              <m:chr m:val="∑"/>
              <m:subHide m:val="1"/>
              <m:supHide m:val="1"/>
            </m:naryPr>
            <m:sub/>
            <m:sup/>
            <m:e>
              <m:d>
                <m:dPr>
                  <m:begChr m:val="("/>
                  <m:endChr m:val=")"/>
                </m:dPr>
                <m:e>
                  <m:f>
                    <m:num>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sup>
                          <m:r>
                            <w:rPr>
                              <w:rFonts w:ascii="Cambria Math" w:hAnsi="Cambria Math"/>
                            </w:rPr>
                            <m:t xml:space="preserve">4</m:t>
                          </m:r>
                        </m:sup>
                      </m:sSup>
                    </m:num>
                    <m:den>
                      <m:d>
                        <m:dPr>
                          <m:begChr m:val="("/>
                          <m:endChr m:val=")"/>
                        </m:dPr>
                        <m:e>
                          <m:sSup>
                            <m:e>
                              <m:r>
                                <w:rPr>
                                  <w:rFonts w:ascii="Cambria Math" w:hAnsi="Cambria Math"/>
                                </w:rPr>
                                <m:t xml:space="preserve">s</m:t>
                              </m:r>
                            </m:e>
                            <m:sup>
                              <m:r>
                                <w:rPr>
                                  <w:rFonts w:ascii="Cambria Math" w:hAnsi="Cambria Math"/>
                                </w:rPr>
                                <m:t xml:space="preserve">4</m:t>
                              </m:r>
                            </m:sup>
                          </m:sSup>
                          <m:r>
                            <w:rPr>
                              <w:rFonts w:ascii="Cambria Math" w:hAnsi="Cambria Math"/>
                            </w:rPr>
                            <m:t xml:space="preserve">−</m:t>
                          </m:r>
                          <m:r>
                            <w:rPr>
                              <w:rFonts w:ascii="Cambria Math" w:hAnsi="Cambria Math"/>
                            </w:rPr>
                            <m:t xml:space="preserve">3</m:t>
                          </m:r>
                        </m:e>
                      </m:d>
                    </m:den>
                  </m:f>
                </m:e>
              </m:d>
            </m:e>
          </m:nary>
        </m:oMath>
      </m:oMathPara>
    </w:p>
    <w:p>
      <w:pPr>
        <w:pStyle w:val="Normal"/>
        <w:shd w:val="clear" w:color="auto" w:fill="FFFFFF"/>
        <w:ind w:firstLine="709"/>
        <w:jc w:val="both"/>
        <w:rPr>
          <w:rFonts w:eastAsia="Times New Roman"/>
          <w:sz w:val="22"/>
          <w:szCs w:val="22"/>
          <w:lang w:val="ru-RU"/>
        </w:rPr>
      </w:pPr>
      <w:r>
        <w:rPr>
          <w:rFonts w:eastAsia="Times New Roman"/>
          <w:sz w:val="22"/>
          <w:szCs w:val="22"/>
          <w:lang w:val="ru-RU"/>
        </w:rPr>
        <w:t>где X</w:t>
      </w:r>
      <w:r>
        <w:rPr>
          <w:rFonts w:eastAsia="Times New Roman"/>
          <w:sz w:val="22"/>
          <w:szCs w:val="22"/>
          <w:vertAlign w:val="subscript"/>
          <w:lang w:val="ru-RU"/>
        </w:rPr>
        <w:t>i</w:t>
      </w:r>
      <w:r>
        <w:rPr>
          <w:rFonts w:eastAsia="Times New Roman"/>
          <w:sz w:val="22"/>
          <w:szCs w:val="22"/>
          <w:lang w:val="ru-RU"/>
        </w:rPr>
        <w:t xml:space="preserve"> - значения случайной величины,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t>Значение эксцесса позволяет определить, насколько остроконечно или плоское распределение. Если эксцесс 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(есть меньше значений вокруг среднего и больше значений в хвостах распределения).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Расчет эксцесса для </w:t>
      </w:r>
      <w:r>
        <w:rPr>
          <w:rFonts w:eastAsia="Times New Roman"/>
          <w:sz w:val="22"/>
          <w:szCs w:val="22"/>
          <w:lang w:val="ru-RU"/>
        </w:rPr>
        <w:t>МЧКК</w:t>
      </w:r>
      <w:r>
        <w:rPr>
          <w:rFonts w:eastAsia="Times New Roman"/>
          <w:sz w:val="22"/>
          <w:szCs w:val="22"/>
          <w:lang w:val="ru-RU"/>
        </w:rPr>
        <w:t xml:space="preserve"> может быть полезным в контексте задач распознавания эмоций в речи по нескольким причинам:</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Острота интонаций:</w:t>
      </w:r>
      <w:r>
        <w:rPr>
          <w:rFonts w:eastAsia="Times New Roman"/>
          <w:sz w:val="22"/>
          <w:szCs w:val="22"/>
          <w:lang w:val="ru-RU"/>
        </w:rPr>
        <w:t xml:space="preserve"> эксцесс может предоставить информацию о форме распределения интонаций в речи. Острый и высокий пик распределения может отражать более выраженные и четкие интонации, что может быть связано с эмоциональными состояниями.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Характер изменчивости</w:t>
      </w:r>
      <w:r>
        <w:rPr>
          <w:rFonts w:eastAsia="Times New Roman"/>
          <w:sz w:val="22"/>
          <w:szCs w:val="22"/>
          <w:lang w:val="ru-RU"/>
        </w:rPr>
        <w:t>: эксцесс также может указывать на степень изменчивости в интонациях. Высокий эксцесс может означать, что определенные эмоциональные состояния характеризуются более выраженными и сосредоточенными интонациями.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w:t>
      </w:r>
      <w:r>
        <w:rPr>
          <w:rFonts w:eastAsia="Times New Roman"/>
          <w:i/>
          <w:iCs/>
          <w:sz w:val="22"/>
          <w:szCs w:val="22"/>
          <w:lang w:val="ru-RU"/>
        </w:rPr>
        <w:t xml:space="preserve"> Обнаружение аномалий</w:t>
      </w:r>
      <w:r>
        <w:rPr>
          <w:rFonts w:eastAsia="Times New Roman"/>
          <w:sz w:val="22"/>
          <w:szCs w:val="22"/>
          <w:lang w:val="ru-RU"/>
        </w:rPr>
        <w:t>: высокий или низкий эксцесс может служить индикатором аномальных эмоциональных состояний, отличающихся от нормального распределения. Это может помочь выделить случаи, когда речь содержит особенно яркие или необычные эмоциональные выражения.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г) </w:t>
      </w:r>
      <w:r>
        <w:rPr>
          <w:rFonts w:eastAsia="Times New Roman"/>
          <w:i/>
          <w:iCs/>
          <w:sz w:val="22"/>
          <w:szCs w:val="22"/>
          <w:lang w:val="ru-RU"/>
        </w:rPr>
        <w:t>Различение между эмоциями:</w:t>
      </w:r>
      <w:r>
        <w:rPr>
          <w:rFonts w:eastAsia="Times New Roman"/>
          <w:sz w:val="22"/>
          <w:szCs w:val="22"/>
          <w:lang w:val="ru-RU"/>
        </w:rPr>
        <w:t xml:space="preserve"> разные эмоциональные состояния могут проявляться в различных формах интонаций. Эксцесс может помочь выявить характерные особенности распределения для каждой эмоции.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both"/>
        <w:rPr>
          <w:rFonts w:eastAsia="Times New Roman"/>
          <w:b/>
          <w:bCs/>
          <w:sz w:val="22"/>
          <w:szCs w:val="22"/>
          <w:lang w:val="en-US"/>
        </w:rPr>
      </w:pPr>
      <w:r>
        <w:rPr>
          <w:rFonts w:eastAsia="Times New Roman"/>
          <w:b/>
          <w:bCs/>
          <w:sz w:val="22"/>
          <w:szCs w:val="22"/>
          <w:lang w:val="en-US"/>
        </w:rPr>
        <w:t>3) Interquartile Range (IQR) (</w:t>
      </w:r>
      <w:r>
        <w:rPr>
          <w:rFonts w:eastAsia="Times New Roman"/>
          <w:b/>
          <w:bCs/>
          <w:sz w:val="22"/>
          <w:szCs w:val="22"/>
          <w:lang w:val="ru-RU"/>
        </w:rPr>
        <w:t>Межквантильный</w:t>
      </w:r>
      <w:r>
        <w:rPr>
          <w:rFonts w:eastAsia="Times New Roman"/>
          <w:b/>
          <w:bCs/>
          <w:sz w:val="22"/>
          <w:szCs w:val="22"/>
          <w:lang w:val="en-US"/>
        </w:rPr>
        <w:t xml:space="preserve"> </w:t>
      </w:r>
      <w:r>
        <w:rPr>
          <w:rFonts w:eastAsia="Times New Roman"/>
          <w:b/>
          <w:bCs/>
          <w:sz w:val="22"/>
          <w:szCs w:val="22"/>
          <w:lang w:val="ru-RU"/>
        </w:rPr>
        <w:t>размах</w:t>
      </w:r>
      <w:r>
        <w:rPr>
          <w:rFonts w:eastAsia="Times New Roman"/>
          <w:b/>
          <w:bCs/>
          <w:sz w:val="22"/>
          <w:szCs w:val="22"/>
          <w:lang w:val="en-US"/>
        </w:rPr>
        <w:t>).</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Это мера разброса данных, которая используется для измерения разницы между верхним и нижним квартилями. Она показывает дисперсию значений в центральном интервале данных.Для вычисления IQR, нужно выполнить следующие шаги: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Найдите значение третьего квартиля (Q3), которое разделяет нижние 75% наблюдений от верхних 25% наблюдений.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г) Вычислите IQR, как разницу между значениями Q3 и Q1: </w:t>
      </w:r>
    </w:p>
    <w:p>
      <w:pPr>
        <w:pStyle w:val="Normal"/>
        <w:shd w:val="clear" w:color="auto" w:fill="FFFFFF"/>
        <w:ind w:firstLine="709"/>
        <w:jc w:val="center"/>
        <w:rPr>
          <w:rFonts w:eastAsia="Times New Roman"/>
          <w:b/>
          <w:bCs/>
          <w:sz w:val="22"/>
          <w:szCs w:val="22"/>
          <w:lang w:val="ru-RU"/>
        </w:rPr>
      </w:pPr>
      <w:r>
        <w:rPr>
          <w:rFonts w:eastAsia="Times New Roman"/>
          <w:b/>
          <w:bCs/>
          <w:sz w:val="22"/>
          <w:szCs w:val="22"/>
          <w:lang w:val="ru-RU"/>
        </w:rPr>
        <w:t>IQR = Q3 — Q1.</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 считаются значения, которые находятся за пределами интервала Q1 - 1,5  IQR и Q3 + 1,5  IQR.</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w:t>
      </w:r>
      <w:r>
        <w:rPr>
          <w:rFonts w:eastAsia="Times New Roman"/>
          <w:sz w:val="22"/>
          <w:szCs w:val="22"/>
          <w:lang w:val="ru-RU"/>
        </w:rPr>
        <w:t xml:space="preserve"> контексте задач распознавания эмоций в речи </w:t>
      </w:r>
      <w:r>
        <w:rPr>
          <w:rFonts w:eastAsia="Times New Roman"/>
          <w:sz w:val="22"/>
          <w:szCs w:val="22"/>
          <w:lang w:val="ru-RU"/>
        </w:rPr>
        <w:t>IQR может быть полезен по</w:t>
      </w:r>
      <w:r>
        <w:rPr>
          <w:rFonts w:eastAsia="Times New Roman"/>
          <w:sz w:val="22"/>
          <w:szCs w:val="22"/>
          <w:lang w:val="ru-RU"/>
        </w:rPr>
        <w:t xml:space="preserve"> по нескольким причинам:</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Измерение дисперсии в интонациях:</w:t>
      </w:r>
      <w:r>
        <w:rPr>
          <w:rFonts w:eastAsia="Times New Roman"/>
          <w:sz w:val="22"/>
          <w:szCs w:val="22"/>
          <w:lang w:val="ru-RU"/>
        </w:rPr>
        <w:t xml:space="preserve"> IQR может предоставить информацию о том, насколько сильно варьируются интонации в речи. Большой IQR может свидетельствовать о более разнообразных и динамичных интонациях, что может быть важным при анализе эмоциональных проявлений.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Определение изменчивости в выражении эмоций:</w:t>
      </w:r>
      <w:r>
        <w:rPr>
          <w:rFonts w:eastAsia="Times New Roman"/>
          <w:sz w:val="22"/>
          <w:szCs w:val="22"/>
          <w:lang w:val="ru-RU"/>
        </w:rPr>
        <w:t xml:space="preserve"> высокая изменчивость в интонациях может отражать эмоциональную насыщенность и разнообразие выражений. IQR может помочь выделить случаи, когда изменения в интонациях особенно сильны и разнообразны.</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w:t>
      </w:r>
      <w:r>
        <w:rPr>
          <w:rFonts w:eastAsia="Times New Roman"/>
          <w:i/>
          <w:iCs/>
          <w:sz w:val="22"/>
          <w:szCs w:val="22"/>
          <w:lang w:val="ru-RU"/>
        </w:rPr>
        <w:t>Выделение особенностей распределения</w:t>
      </w:r>
      <w:r>
        <w:rPr>
          <w:rFonts w:eastAsia="Times New Roman"/>
          <w:sz w:val="22"/>
          <w:szCs w:val="22"/>
          <w:lang w:val="ru-RU"/>
        </w:rPr>
        <w:t>: IQR также может служить индикатором особенностей в распределении интонаций. Большой IQR может указывать на наличие ярко выраженных пиков и хвостов, что может быть связано с определенными эмоциональными состояниями.</w:t>
      </w:r>
    </w:p>
    <w:p>
      <w:pPr>
        <w:pStyle w:val="Normal"/>
        <w:shd w:val="clear" w:color="auto" w:fill="FFFFFF"/>
        <w:ind w:firstLine="709"/>
        <w:jc w:val="both"/>
        <w:rPr>
          <w:highlight w:val="none"/>
          <w:shd w:fill="auto" w:val="clear"/>
        </w:rPr>
      </w:pPr>
      <w:r>
        <w:rPr>
          <w:rFonts w:eastAsia="Times New Roman"/>
          <w:sz w:val="22"/>
          <w:szCs w:val="22"/>
          <w:shd w:fill="auto" w:val="clear"/>
          <w:lang w:val="ru-RU"/>
        </w:rPr>
        <w:t>В итоговый набор признаков были включены среднее значение МЧКК (34 признака), среднеквадратичное отклонение МЧКК (34 признака), среднее от первой и второй производных от МЧКК (2 * 34 признака), их среднеквадратическое отклонение (2 * 34), а также коэффициент асимметрии, эксцесс и межквантильный размах (по 34 признака для каждой метрики соотвественно).</w:t>
      </w:r>
      <w:r>
        <w:rPr>
          <w:rFonts w:eastAsia="Times New Roman"/>
          <w:sz w:val="22"/>
          <w:szCs w:val="22"/>
          <w:shd w:fill="auto" w:val="clear"/>
          <w:lang w:val="ru-RU"/>
        </w:rPr>
        <w:t xml:space="preserve"> Таким образом, для каждого аудиофайла мы получаем </w:t>
      </w:r>
      <w:r>
        <w:rPr>
          <w:rFonts w:eastAsia="Times New Roman"/>
          <w:b/>
          <w:bCs/>
          <w:sz w:val="22"/>
          <w:szCs w:val="22"/>
          <w:shd w:fill="auto" w:val="clear"/>
          <w:lang w:val="ru-RU"/>
        </w:rPr>
        <w:t>30</w:t>
      </w:r>
      <w:r>
        <w:rPr>
          <w:rFonts w:eastAsia="Times New Roman"/>
          <w:b/>
          <w:bCs/>
          <w:sz w:val="22"/>
          <w:szCs w:val="22"/>
          <w:shd w:fill="auto" w:val="clear"/>
          <w:lang w:val="ru-RU"/>
        </w:rPr>
        <w:t>6</w:t>
      </w:r>
      <w:r>
        <w:rPr>
          <w:rFonts w:eastAsia="Times New Roman"/>
          <w:b/>
          <w:bCs/>
          <w:sz w:val="22"/>
          <w:szCs w:val="22"/>
          <w:shd w:fill="auto" w:val="clear"/>
          <w:lang w:val="ru-RU"/>
        </w:rPr>
        <w:t>-компонентный вектор супрасегментных признаков MFCC.</w:t>
      </w:r>
    </w:p>
    <w:p>
      <w:pPr>
        <w:pStyle w:val="Normal"/>
        <w:keepNext w:val="true"/>
        <w:keepLines/>
        <w:numPr>
          <w:ilvl w:val="0"/>
          <w:numId w:val="0"/>
        </w:numPr>
        <w:tabs>
          <w:tab w:val="left" w:pos="709" w:leader="none"/>
        </w:tabs>
        <w:spacing w:before="360" w:after="240"/>
        <w:ind w:hanging="0" w:left="0"/>
        <w:jc w:val="center"/>
        <w:outlineLvl w:val="0"/>
        <w:rPr>
          <w:rFonts w:eastAsia="Times New Roman"/>
          <w:b/>
          <w:kern w:val="2"/>
          <w:sz w:val="22"/>
          <w:lang w:val="ru-RU" w:eastAsia="ru-RU"/>
        </w:rPr>
      </w:pPr>
      <w:r>
        <w:rPr>
          <w:rFonts w:eastAsia="Times New Roman"/>
          <w:b/>
          <w:kern w:val="2"/>
          <w:sz w:val="22"/>
          <w:lang w:val="ru-RU" w:eastAsia="ru-RU"/>
        </w:rPr>
        <w:t>Речевая база</w:t>
      </w:r>
    </w:p>
    <w:p>
      <w:pPr>
        <w:pStyle w:val="Normal"/>
        <w:ind w:firstLine="567"/>
        <w:jc w:val="both"/>
        <w:rPr>
          <w:sz w:val="22"/>
          <w:szCs w:val="22"/>
        </w:rPr>
      </w:pPr>
      <w:r>
        <w:rPr>
          <w:color w:themeColor="text1" w:val="000000"/>
          <w:sz w:val="22"/>
          <w:szCs w:val="22"/>
        </w:rPr>
        <w:t xml:space="preserve">При проведении исследования в качестве исходного набора данных использовался Ryerson Audio-Visual Database of Emotional Speech and Song (RAVDESS) [10]. </w:t>
      </w:r>
      <w:r>
        <w:rPr>
          <w:color w:val="000000"/>
          <w:sz w:val="22"/>
          <w:szCs w:val="22"/>
        </w:rPr>
        <w:t xml:space="preserve"> </w:t>
      </w:r>
      <w:r>
        <w:rPr>
          <w:color w:themeColor="text1" w:val="000000"/>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themeColor="text1" w:val="000000"/>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center"/>
        <w:rPr>
          <w:b/>
          <w:bCs/>
        </w:rPr>
      </w:pPr>
      <w:r>
        <w:rPr>
          <w:rFonts w:eastAsia="Times New Roman"/>
          <w:b/>
          <w:bCs/>
          <w:sz w:val="22"/>
          <w:szCs w:val="22"/>
          <w:lang w:val="ru-RU"/>
        </w:rPr>
        <w:t>Подход к описанию эксперимента</w:t>
      </w:r>
    </w:p>
    <w:p>
      <w:pPr>
        <w:pStyle w:val="Normal"/>
        <w:shd w:val="clear" w:color="auto" w:fill="FFFFFF"/>
        <w:ind w:firstLine="709"/>
        <w:jc w:val="both"/>
        <w:rPr>
          <w:rFonts w:eastAsia="Times New Roman"/>
          <w:i/>
          <w:i/>
          <w:sz w:val="22"/>
          <w:szCs w:val="22"/>
          <w:lang w:val="ru-RU"/>
        </w:rPr>
      </w:pPr>
      <w:r>
        <w:rPr>
          <w:rFonts w:eastAsia="Times New Roman"/>
          <w:i/>
          <w:sz w:val="22"/>
          <w:szCs w:val="22"/>
          <w:lang w:val="ru-RU"/>
        </w:rPr>
      </w:r>
    </w:p>
    <w:p>
      <w:pPr>
        <w:pStyle w:val="Style16"/>
        <w:spacing w:lineRule="auto" w:line="240"/>
        <w:ind w:firstLine="680" w:left="0"/>
        <w:rPr>
          <w:sz w:val="22"/>
          <w:szCs w:val="22"/>
        </w:rPr>
      </w:pPr>
      <w:r>
        <w:rPr>
          <w:color w:themeColor="text1" w:val="000000"/>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themeColor="text1" w:val="000000"/>
          <w:sz w:val="22"/>
          <w:szCs w:val="22"/>
        </w:rPr>
        <w:t>метод опорных векторов (МОВ)</w:t>
      </w:r>
      <w:r>
        <w:rPr>
          <w:color w:themeColor="text1" w:val="000000"/>
          <w:sz w:val="22"/>
          <w:szCs w:val="22"/>
        </w:rPr>
        <w:t>.</w:t>
      </w:r>
    </w:p>
    <w:p>
      <w:pPr>
        <w:pStyle w:val="Style16"/>
        <w:spacing w:lineRule="auto" w:line="240"/>
        <w:ind w:firstLine="680" w:left="0"/>
        <w:rPr>
          <w:sz w:val="22"/>
          <w:szCs w:val="22"/>
        </w:rPr>
      </w:pPr>
      <w:r>
        <w:rPr>
          <w:color w:themeColor="text1" w:val="000000"/>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pPr>
        <w:pStyle w:val="Style16"/>
        <w:spacing w:lineRule="auto" w:line="240"/>
        <w:ind w:firstLine="680" w:left="0"/>
        <w:rPr>
          <w:color w:themeColor="text1" w:val="000000"/>
          <w:sz w:val="22"/>
          <w:szCs w:val="22"/>
        </w:rPr>
      </w:pPr>
      <w:r>
        <w:rPr>
          <w:color w:themeColor="text1" w:val="000000"/>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color w:themeColor="text1" w:val="000000"/>
          <w:sz w:val="22"/>
          <w:szCs w:val="22"/>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color w:themeColor="text1" w:val="000000"/>
          <w:sz w:val="22"/>
          <w:szCs w:val="22"/>
        </w:rPr>
        <w:t xml:space="preserve">, где </w:t>
      </w:r>
      <w:r>
        <w:rPr/>
      </w:r>
      <m:oMath xmlns:m="http://schemas.openxmlformats.org/officeDocument/2006/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j</m:t>
                    </m:r>
                  </m:sub>
                </m:sSub>
              </m:e>
            </m:d>
          </m:e>
        </m:d>
      </m:oMath>
      <w:r>
        <w:rPr>
          <w:color w:themeColor="text1" w:val="000000"/>
          <w:sz w:val="22"/>
          <w:szCs w:val="22"/>
        </w:rPr>
        <w:t>, характеризующих меру их близости</w:t>
      </w:r>
      <w:r>
        <w:rPr>
          <w:color w:themeColor="text1" w:val="000000"/>
          <w:sz w:val="22"/>
          <w:szCs w:val="22"/>
          <w:lang w:val="ru-RU"/>
        </w:rPr>
        <w:t>,</w:t>
      </w:r>
      <w:r>
        <w:rPr>
          <w:color w:themeColor="text1" w:val="000000"/>
          <w:sz w:val="22"/>
          <w:szCs w:val="22"/>
        </w:rPr>
        <w:t xml:space="preserve"> </w:t>
      </w:r>
      <w:r>
        <w:rPr>
          <w:color w:themeColor="text1" w:val="000000"/>
          <w:sz w:val="22"/>
          <w:szCs w:val="22"/>
          <w:lang w:val="ru-RU"/>
        </w:rPr>
        <w:t>а</w:t>
      </w:r>
      <w:r>
        <w:rPr>
          <w:color w:themeColor="text1" w:val="000000"/>
          <w:sz w:val="22"/>
          <w:szCs w:val="22"/>
        </w:rPr>
        <w:t xml:space="preserve"> </w:t>
      </w:r>
      <w:r>
        <w:rPr/>
      </w:r>
      <m:oMath xmlns:m="http://schemas.openxmlformats.org/officeDocument/2006/math">
        <m:r>
          <w:rPr>
            <w:rFonts w:ascii="Cambria Math" w:hAnsi="Cambria Math"/>
          </w:rPr>
          <m:t xml:space="preserve">ϕ</m:t>
        </m:r>
      </m:oMath>
      <w:r>
        <w:rPr>
          <w:color w:themeColor="text1" w:val="000000"/>
          <w:sz w:val="22"/>
          <w:szCs w:val="22"/>
        </w:rPr>
        <w:t xml:space="preserve"> является произвольной преобразующей функцией, формирующее ядро. В частности, примерами таких функций являются:</w:t>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линейное ядро:</w:t>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oMath>
      </m:oMathPara>
    </w:p>
    <w:p>
      <w:pPr>
        <w:pStyle w:val="Style16"/>
        <w:spacing w:lineRule="auto" w:line="240"/>
        <w:ind w:firstLine="680" w:left="0"/>
        <w:jc w:val="center"/>
        <w:rPr>
          <w:sz w:val="22"/>
          <w:szCs w:val="22"/>
        </w:rPr>
      </w:pPr>
      <w:r>
        <w:rPr>
          <w:color w:val="000000"/>
          <w:sz w:val="22"/>
          <w:szCs w:val="22"/>
        </w:rPr>
        <w:t xml:space="preserve"> </w:t>
      </w:r>
    </w:p>
    <w:p>
      <w:pPr>
        <w:pStyle w:val="Style16"/>
        <w:spacing w:lineRule="auto" w:line="240"/>
        <w:ind w:firstLine="680" w:left="0"/>
        <w:jc w:val="left"/>
        <w:rPr>
          <w:sz w:val="22"/>
          <w:szCs w:val="22"/>
        </w:rPr>
      </w:pPr>
      <w:r>
        <w:rPr>
          <w:color w:themeColor="text1" w:val="000000"/>
          <w:sz w:val="22"/>
          <w:szCs w:val="22"/>
        </w:rPr>
        <w:t>что соответствует классификатору на опорных векторах в исходном пространстве</w:t>
      </w:r>
    </w:p>
    <w:p>
      <w:pPr>
        <w:pStyle w:val="Style16"/>
        <w:spacing w:lineRule="auto" w:line="240"/>
        <w:ind w:firstLine="680" w:left="0"/>
        <w:jc w:val="left"/>
        <w:rPr>
          <w:color w:themeColor="text1" w:val="000000"/>
          <w:sz w:val="22"/>
          <w:szCs w:val="22"/>
        </w:rPr>
      </w:pPr>
      <w:r>
        <w:rPr>
          <w:color w:themeColor="text1" w:val="000000"/>
          <w:sz w:val="22"/>
          <w:szCs w:val="22"/>
        </w:rPr>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полиномиальное ядро со степенью p:</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e>
              </m:d>
            </m:e>
            <m:sup>
              <m:r>
                <w:rPr>
                  <w:rFonts w:ascii="Cambria Math" w:hAnsi="Cambria Math"/>
                </w:rPr>
                <m:t xml:space="preserve">p</m:t>
              </m:r>
            </m:sup>
          </m:sSup>
        </m:oMath>
      </m:oMathPara>
    </w:p>
    <w:p>
      <w:pPr>
        <w:pStyle w:val="Style16"/>
        <w:spacing w:lineRule="auto" w:line="240"/>
        <w:ind w:firstLine="680" w:left="0"/>
        <w:jc w:val="center"/>
        <w:rPr>
          <w:sz w:val="22"/>
          <w:szCs w:val="22"/>
        </w:rPr>
      </w:pPr>
      <w:r>
        <w:rPr>
          <w:sz w:val="22"/>
          <w:szCs w:val="22"/>
        </w:rPr>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гауссово ядро с радиальной базовой функцией (RBF):</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γ</m:t>
              </m:r>
              <m:s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e>
                  </m:d>
                </m:e>
                <m:sup>
                  <m:r>
                    <w:rPr>
                      <w:rFonts w:ascii="Cambria Math" w:hAnsi="Cambria Math"/>
                    </w:rPr>
                    <m:t xml:space="preserve">2</m:t>
                  </m:r>
                </m:sup>
              </m:sSup>
            </m:e>
          </m:d>
        </m:oMath>
      </m:oMathPara>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color w:themeColor="text1" w:val="000000"/>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pPr>
        <w:pStyle w:val="Style16"/>
        <w:spacing w:lineRule="auto" w:line="240"/>
        <w:ind w:firstLine="680" w:left="0"/>
        <w:rPr>
          <w:sz w:val="22"/>
          <w:szCs w:val="22"/>
        </w:rPr>
      </w:pPr>
      <w:r>
        <w:rPr>
          <w:color w:themeColor="text1" w:val="000000"/>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pPr>
        <w:pStyle w:val="Style16"/>
        <w:spacing w:lineRule="auto" w:line="240"/>
        <w:ind w:firstLine="680" w:left="0"/>
        <w:rPr>
          <w:sz w:val="22"/>
          <w:szCs w:val="22"/>
        </w:rPr>
      </w:pPr>
      <w:r>
        <w:rPr>
          <w:color w:themeColor="text1" w:val="000000"/>
          <w:sz w:val="22"/>
          <w:szCs w:val="22"/>
        </w:rPr>
        <w:t>Для тренировки, тестирования и валидации модели использовался метод k-блочной кросс-валидация (k-fold cross-validation) [</w:t>
      </w:r>
      <w:r>
        <w:rPr>
          <w:color w:themeColor="text1" w:val="000000"/>
          <w:sz w:val="22"/>
          <w:szCs w:val="22"/>
        </w:rPr>
        <w:t>12</w:t>
      </w:r>
      <w:r>
        <w:rPr>
          <w:color w:themeColor="text1" w:val="000000"/>
          <w:sz w:val="22"/>
          <w:szCs w:val="22"/>
        </w:rPr>
        <w:t>].</w:t>
      </w:r>
    </w:p>
    <w:p>
      <w:pPr>
        <w:pStyle w:val="Style16"/>
        <w:spacing w:lineRule="auto" w:line="240"/>
        <w:ind w:firstLine="680" w:left="0"/>
        <w:rPr>
          <w:sz w:val="22"/>
          <w:szCs w:val="22"/>
        </w:rPr>
      </w:pPr>
      <w:r>
        <w:rPr>
          <w:sz w:val="22"/>
          <w:szCs w:val="22"/>
        </w:rPr>
        <w:t>Метод k-блочной кросс-валидации включает следующие действия:</w:t>
      </w:r>
    </w:p>
    <w:p>
      <w:pPr>
        <w:pStyle w:val="Style16"/>
        <w:spacing w:lineRule="auto" w:line="240"/>
        <w:ind w:firstLine="680" w:left="0"/>
        <w:rPr>
          <w:sz w:val="22"/>
          <w:szCs w:val="22"/>
        </w:rPr>
      </w:pPr>
      <w:r>
        <w:rPr>
          <w:sz w:val="22"/>
          <w:szCs w:val="22"/>
        </w:rPr>
        <w:t>1) Перемешать набор данных случайным (псевдо-случайным) образом;</w:t>
      </w:r>
    </w:p>
    <w:p>
      <w:pPr>
        <w:pStyle w:val="Style16"/>
        <w:spacing w:lineRule="auto" w:line="240"/>
        <w:ind w:firstLine="680" w:left="0"/>
        <w:rPr>
          <w:sz w:val="22"/>
          <w:szCs w:val="22"/>
        </w:rPr>
      </w:pPr>
      <w:r>
        <w:rPr>
          <w:sz w:val="22"/>
          <w:szCs w:val="22"/>
        </w:rPr>
        <w:t>2) Разделить набор на k групп;</w:t>
      </w:r>
    </w:p>
    <w:p>
      <w:pPr>
        <w:pStyle w:val="Style16"/>
        <w:spacing w:lineRule="auto" w:line="240"/>
        <w:ind w:firstLine="680" w:left="0"/>
        <w:rPr>
          <w:sz w:val="22"/>
          <w:szCs w:val="22"/>
        </w:rPr>
      </w:pPr>
      <w:r>
        <w:rPr>
          <w:sz w:val="22"/>
          <w:szCs w:val="22"/>
        </w:rPr>
        <w:t>3) Для каждой уникальной группы:</w:t>
      </w:r>
    </w:p>
    <w:p>
      <w:pPr>
        <w:pStyle w:val="Style16"/>
        <w:spacing w:lineRule="auto" w:line="240"/>
        <w:ind w:firstLine="680" w:left="0"/>
        <w:rPr>
          <w:sz w:val="22"/>
          <w:szCs w:val="22"/>
        </w:rPr>
      </w:pPr>
      <w:r>
        <w:rPr>
          <w:sz w:val="22"/>
          <w:szCs w:val="22"/>
        </w:rPr>
        <w:t>- выделить группу записей в качестве тестовых данных (test data)</w:t>
      </w:r>
    </w:p>
    <w:p>
      <w:pPr>
        <w:pStyle w:val="Style16"/>
        <w:spacing w:lineRule="auto" w:line="240"/>
        <w:ind w:firstLine="680" w:left="0"/>
        <w:rPr>
          <w:sz w:val="22"/>
          <w:szCs w:val="22"/>
        </w:rPr>
      </w:pPr>
      <w:r>
        <w:rPr>
          <w:sz w:val="22"/>
          <w:szCs w:val="22"/>
        </w:rPr>
        <w:t>- взять оставшиеся группы в качестве тренировочных данных (train data)</w:t>
      </w:r>
    </w:p>
    <w:p>
      <w:pPr>
        <w:pStyle w:val="Style16"/>
        <w:spacing w:lineRule="auto" w:line="240"/>
        <w:ind w:firstLine="680" w:left="0"/>
        <w:rPr>
          <w:sz w:val="22"/>
          <w:szCs w:val="22"/>
        </w:rPr>
      </w:pPr>
      <w:r>
        <w:rPr>
          <w:sz w:val="22"/>
          <w:szCs w:val="22"/>
        </w:rPr>
        <w:t>- обучить модель на тренировочных и оценить ее эффективность на тестовых данных</w:t>
      </w:r>
    </w:p>
    <w:p>
      <w:pPr>
        <w:pStyle w:val="Style16"/>
        <w:spacing w:lineRule="auto" w:line="240"/>
        <w:ind w:firstLine="680" w:left="0"/>
        <w:rPr>
          <w:sz w:val="22"/>
          <w:szCs w:val="22"/>
        </w:rPr>
      </w:pPr>
      <w:r>
        <w:rPr>
          <w:sz w:val="22"/>
          <w:szCs w:val="22"/>
        </w:rPr>
        <w:t>- сохранить значение оценки и сбросить модель до исходного состояния для следующей итерации</w:t>
      </w:r>
    </w:p>
    <w:p>
      <w:pPr>
        <w:pStyle w:val="Style16"/>
        <w:spacing w:lineRule="auto" w:line="240"/>
        <w:ind w:firstLine="680" w:left="0"/>
        <w:rPr>
          <w:sz w:val="22"/>
          <w:szCs w:val="22"/>
        </w:rPr>
      </w:pPr>
      <w:r>
        <w:rPr>
          <w:sz w:val="22"/>
          <w:szCs w:val="22"/>
        </w:rPr>
        <w:t>- установить средний уровень навыка модели.</w:t>
      </w:r>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16"/>
        <w:spacing w:lineRule="auto" w:line="240"/>
        <w:ind w:firstLine="680" w:left="0"/>
        <w:rPr>
          <w:sz w:val="22"/>
          <w:szCs w:val="22"/>
        </w:rPr>
      </w:pPr>
      <w:r>
        <w:rPr>
          <w:sz w:val="22"/>
          <w:szCs w:val="22"/>
        </w:rPr>
        <w:t>- блок 0: (2, 5, 14, 15, 16)</w:t>
      </w:r>
    </w:p>
    <w:p>
      <w:pPr>
        <w:pStyle w:val="Style16"/>
        <w:spacing w:lineRule="auto" w:line="240"/>
        <w:ind w:firstLine="680" w:left="0"/>
        <w:rPr>
          <w:sz w:val="22"/>
          <w:szCs w:val="22"/>
        </w:rPr>
      </w:pPr>
      <w:r>
        <w:rPr>
          <w:sz w:val="22"/>
          <w:szCs w:val="22"/>
        </w:rPr>
        <w:t>- блок 1: (3, 6, 7, 13, 18)</w:t>
      </w:r>
    </w:p>
    <w:p>
      <w:pPr>
        <w:pStyle w:val="Style16"/>
        <w:spacing w:lineRule="auto" w:line="240"/>
        <w:ind w:firstLine="680" w:left="0"/>
        <w:rPr>
          <w:sz w:val="22"/>
          <w:szCs w:val="22"/>
        </w:rPr>
      </w:pPr>
      <w:r>
        <w:rPr>
          <w:sz w:val="22"/>
          <w:szCs w:val="22"/>
        </w:rPr>
        <w:t>- блок 2: (10, 11, 12, 19, 20)</w:t>
      </w:r>
    </w:p>
    <w:p>
      <w:pPr>
        <w:pStyle w:val="Style16"/>
        <w:spacing w:lineRule="auto" w:line="240"/>
        <w:ind w:firstLine="680" w:left="0"/>
        <w:rPr>
          <w:sz w:val="22"/>
          <w:szCs w:val="22"/>
        </w:rPr>
      </w:pPr>
      <w:r>
        <w:rPr>
          <w:sz w:val="22"/>
          <w:szCs w:val="22"/>
        </w:rPr>
        <w:t>- блок 3: (8, 17, 21, 23, 24)</w:t>
      </w:r>
    </w:p>
    <w:p>
      <w:pPr>
        <w:pStyle w:val="Style16"/>
        <w:spacing w:lineRule="auto" w:line="240"/>
        <w:ind w:firstLine="680" w:left="0"/>
        <w:rPr>
          <w:sz w:val="22"/>
          <w:szCs w:val="22"/>
        </w:rPr>
      </w:pPr>
      <w:r>
        <w:rPr>
          <w:sz w:val="22"/>
          <w:szCs w:val="22"/>
        </w:rPr>
        <w:t>- блок 4: (1, 4, 9, 22)</w:t>
      </w:r>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color w:val="000000"/>
          <w:sz w:val="22"/>
          <w:szCs w:val="22"/>
        </w:rPr>
        <w:t xml:space="preserve">Такой порядок разбиения был предложен в работе мультимодальному распознаванию эмоций на наборе данных RAVDESS с использованием трансферного обучения </w:t>
      </w:r>
      <w:r>
        <w:rPr>
          <w:color w:themeColor="text1" w:val="000000"/>
          <w:sz w:val="22"/>
          <w:szCs w:val="22"/>
        </w:rPr>
        <w:t>[</w:t>
      </w:r>
      <w:r>
        <w:rPr>
          <w:color w:themeColor="text1" w:val="000000"/>
          <w:sz w:val="22"/>
          <w:szCs w:val="22"/>
        </w:rPr>
        <w:t>13</w:t>
      </w:r>
      <w:r>
        <w:rPr>
          <w:color w:themeColor="text1" w:val="000000"/>
          <w:sz w:val="22"/>
          <w:szCs w:val="22"/>
        </w:rPr>
        <w:t>].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 [1</w:t>
      </w:r>
      <w:r>
        <w:rPr>
          <w:color w:themeColor="text1" w:val="000000"/>
          <w:sz w:val="22"/>
          <w:szCs w:val="22"/>
        </w:rPr>
        <w:t>3</w:t>
      </w:r>
      <w:r>
        <w:rPr>
          <w:color w:themeColor="text1" w:val="000000"/>
          <w:sz w:val="22"/>
          <w:szCs w:val="22"/>
        </w:rPr>
        <w:t>].</w:t>
      </w:r>
    </w:p>
    <w:p>
      <w:pPr>
        <w:pStyle w:val="Style16"/>
        <w:spacing w:lineRule="auto" w:line="240"/>
        <w:ind w:firstLine="680" w:left="0"/>
        <w:rPr>
          <w:sz w:val="22"/>
          <w:szCs w:val="22"/>
        </w:rPr>
      </w:pPr>
      <w:r>
        <w:rPr>
          <w:color w:val="000000"/>
          <w:sz w:val="22"/>
          <w:szCs w:val="22"/>
        </w:rPr>
        <w:t>Для оценки качества модели было вычислено среднее арифметическое (невзвешенное) полноты (UAR). UAR —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 Формула невзвешенного среднего отзыва (UAR) определяется следующим образом:</w:t>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UAR</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c</m:t>
                  </m:r>
                </m:sub>
              </m:sSub>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f>
                <m:num>
                  <m:sSub>
                    <m:e>
                      <m:r>
                        <w:rPr>
                          <w:rFonts w:ascii="Cambria Math" w:hAnsi="Cambria Math"/>
                        </w:rPr>
                        <m:t xml:space="preserve">A</m:t>
                      </m:r>
                    </m:e>
                    <m:sub>
                      <m:r>
                        <w:rPr>
                          <w:rFonts w:ascii="Cambria Math" w:hAnsi="Cambria Math"/>
                        </w:rPr>
                        <m:t xml:space="preserve">ii</m:t>
                      </m:r>
                    </m:sub>
                  </m:sSub>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sSub>
                        <m:e>
                          <m:r>
                            <w:rPr>
                              <w:rFonts w:ascii="Cambria Math" w:hAnsi="Cambria Math"/>
                            </w:rPr>
                            <m:t xml:space="preserve">A</m:t>
                          </m:r>
                        </m:e>
                        <m:sub>
                          <m:r>
                            <w:rPr>
                              <w:rFonts w:ascii="Cambria Math" w:hAnsi="Cambria Math"/>
                            </w:rPr>
                            <m:t xml:space="preserve">ij</m:t>
                          </m:r>
                        </m:sub>
                      </m:sSub>
                    </m:e>
                  </m:nary>
                </m:den>
              </m:f>
            </m:e>
          </m:nary>
        </m:oMath>
      </m:oMathPara>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sz w:val="22"/>
          <w:szCs w:val="22"/>
        </w:rPr>
        <w:t xml:space="preserve">где A – матрица путаницы, </w:t>
      </w:r>
    </w:p>
    <w:p>
      <w:pPr>
        <w:pStyle w:val="Style16"/>
        <w:spacing w:lineRule="auto" w:line="240"/>
        <w:ind w:firstLine="680" w:left="0"/>
        <w:rPr>
          <w:sz w:val="22"/>
          <w:szCs w:val="22"/>
        </w:rPr>
      </w:pPr>
      <w:r>
        <w:rPr/>
      </w:r>
      <m:oMath xmlns:m="http://schemas.openxmlformats.org/officeDocument/2006/math">
        <m:sSub>
          <m:e>
            <m:r>
              <w:rPr>
                <w:rFonts w:ascii="Cambria Math" w:hAnsi="Cambria Math"/>
              </w:rPr>
              <m:t xml:space="preserve">N</m:t>
            </m:r>
          </m:e>
          <m:sub>
            <m:r>
              <w:rPr>
                <w:rFonts w:ascii="Cambria Math" w:hAnsi="Cambria Math"/>
              </w:rPr>
              <m:t xml:space="preserve">c</m:t>
            </m:r>
          </m:sub>
        </m:sSub>
      </m:oMath>
      <w:r>
        <w:rPr>
          <w:sz w:val="22"/>
          <w:szCs w:val="22"/>
        </w:rPr>
        <w:t xml:space="preserve"> – </w:t>
      </w:r>
      <w:r>
        <w:rPr>
          <w:sz w:val="22"/>
          <w:szCs w:val="22"/>
        </w:rPr>
        <w:t xml:space="preserve">количество классов. Значение </w:t>
      </w:r>
      <w:r>
        <w:rPr/>
      </w:r>
      <m:oMath xmlns:m="http://schemas.openxmlformats.org/officeDocument/2006/math">
        <m:r>
          <w:rPr>
            <w:rFonts w:ascii="Cambria Math" w:hAnsi="Cambria Math"/>
          </w:rPr>
          <m:t xml:space="preserve">UAR</m:t>
        </m:r>
      </m:oMath>
      <w:r>
        <w:rPr>
          <w:sz w:val="22"/>
          <w:szCs w:val="22"/>
        </w:rPr>
        <w:t xml:space="preserve"> находится в диапазоне от 0 до 1. </w:t>
      </w:r>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sz w:val="22"/>
          <w:szCs w:val="22"/>
        </w:rPr>
        <w:t>Эксперимент проводился в три этапа:</w:t>
      </w:r>
    </w:p>
    <w:p>
      <w:pPr>
        <w:pStyle w:val="Style16"/>
        <w:spacing w:lineRule="auto" w:line="240"/>
        <w:ind w:firstLine="680" w:left="0"/>
        <w:rPr>
          <w:sz w:val="22"/>
          <w:szCs w:val="22"/>
        </w:rPr>
      </w:pPr>
      <w:r>
        <w:rPr>
          <w:sz w:val="22"/>
          <w:szCs w:val="22"/>
        </w:rPr>
        <w:t xml:space="preserve">1) подготовка обучающей выборки; </w:t>
      </w:r>
    </w:p>
    <w:p>
      <w:pPr>
        <w:pStyle w:val="Style16"/>
        <w:spacing w:lineRule="auto" w:line="240"/>
        <w:ind w:firstLine="680" w:left="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pPr>
        <w:pStyle w:val="Style16"/>
        <w:spacing w:lineRule="auto" w:line="240"/>
        <w:ind w:firstLine="680" w:left="0"/>
        <w:rPr>
          <w:sz w:val="22"/>
          <w:szCs w:val="22"/>
        </w:rPr>
      </w:pPr>
      <w:r>
        <w:rPr>
          <w:sz w:val="22"/>
          <w:szCs w:val="22"/>
        </w:rPr>
        <w:t xml:space="preserve">3) оценка модели с использованием метрики </w:t>
      </w:r>
      <w:r>
        <w:rPr/>
      </w:r>
      <m:oMath xmlns:m="http://schemas.openxmlformats.org/officeDocument/2006/math">
        <m:r>
          <w:rPr>
            <w:rFonts w:ascii="Cambria Math" w:hAnsi="Cambria Math"/>
          </w:rPr>
          <m:t xml:space="preserve">UAR</m:t>
        </m:r>
      </m:oMath>
      <w:r>
        <w:rPr>
          <w:sz w:val="22"/>
          <w:szCs w:val="22"/>
        </w:rPr>
        <w:t>.</w:t>
      </w:r>
    </w:p>
    <w:p>
      <w:pPr>
        <w:pStyle w:val="Normal"/>
        <w:keepNext w:val="true"/>
        <w:keepLines/>
        <w:numPr>
          <w:ilvl w:val="0"/>
          <w:numId w:val="0"/>
        </w:numPr>
        <w:tabs>
          <w:tab w:val="left" w:pos="709" w:leader="none"/>
        </w:tabs>
        <w:spacing w:before="360" w:after="240"/>
        <w:ind w:hanging="0" w:left="0"/>
        <w:jc w:val="center"/>
        <w:outlineLvl w:val="0"/>
        <w:rPr/>
      </w:pPr>
      <w:r>
        <w:rPr>
          <w:rFonts w:eastAsia="Times New Roman"/>
          <w:b/>
          <w:kern w:val="2"/>
          <w:sz w:val="22"/>
          <w:lang w:val="ru-RU" w:eastAsia="ru-RU"/>
        </w:rPr>
        <w:t>Результаты и их обсуждение</w:t>
      </w:r>
    </w:p>
    <w:p>
      <w:pPr>
        <w:pStyle w:val="Style11"/>
        <w:rPr/>
      </w:pPr>
      <w:r>
        <w:rPr/>
        <w:t>Эксперименты, проведенные с набором данных RAVDESS с использованием классификаторов SVM с различными ядрами и гиперпараметрами, включая RBF, линейные и полиномиальные ядра, а также с различной длиной кадров для извлечения МЧКК, дали ценную информацию о распознавании эмоций. Мы использовали технику grid search, чтобы настроить и найти лучшие гиперпараметры для данного ядра. В таблице 1 дана краткая информация обо всех проведенных экспериментах.</w:t>
      </w:r>
    </w:p>
    <w:p>
      <w:pPr>
        <w:pStyle w:val="Style11"/>
        <w:rPr/>
      </w:pPr>
      <w:r>
        <w:rPr/>
      </w:r>
    </w:p>
    <w:p>
      <w:pPr>
        <w:pStyle w:val="BodyText"/>
        <w:jc w:val="center"/>
        <w:rPr>
          <w:lang w:val="ru-RU"/>
        </w:rPr>
      </w:pPr>
      <w:r>
        <w:rPr/>
        <w:t xml:space="preserve">Таблица 1 </w:t>
      </w:r>
    </w:p>
    <w:p>
      <w:pPr>
        <w:pStyle w:val="BodyText"/>
        <w:jc w:val="center"/>
        <w:rPr/>
      </w:pPr>
      <w:r>
        <w:rPr/>
        <w:t xml:space="preserve">Результирующий </w:t>
      </w:r>
      <w:r>
        <w:rPr>
          <w:lang w:val="en-US"/>
        </w:rPr>
        <w:t>UAR</w:t>
      </w:r>
      <w:r>
        <w:rPr>
          <w:lang w:val="ru-RU"/>
        </w:rPr>
        <w:t xml:space="preserve"> </w:t>
      </w:r>
      <w:r>
        <w:rPr/>
        <w:t xml:space="preserve">для классификатора на основа </w:t>
      </w:r>
      <w:r>
        <w:rPr>
          <w:lang w:val="ru-RU"/>
        </w:rPr>
        <w:t>МОВ</w:t>
      </w:r>
      <w:r>
        <w:rPr/>
        <w:t xml:space="preserve"> с различными ядрами</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2258"/>
        <w:gridCol w:w="2264"/>
        <w:gridCol w:w="2262"/>
        <w:gridCol w:w="2258"/>
      </w:tblGrid>
      <w:tr>
        <w:trPr/>
        <w:tc>
          <w:tcPr>
            <w:tcW w:w="2258" w:type="dxa"/>
            <w:tcBorders>
              <w:top w:val="single" w:sz="6" w:space="0" w:color="000000"/>
              <w:bottom w:val="single" w:sz="6" w:space="0" w:color="000000"/>
            </w:tcBorders>
          </w:tcPr>
          <w:p>
            <w:pPr>
              <w:pStyle w:val="TableContents"/>
              <w:jc w:val="center"/>
              <w:rPr/>
            </w:pPr>
            <w:r>
              <w:rPr>
                <w:rFonts w:ascii="Liberation Serif" w:hAnsi="Liberation Serif"/>
                <w:color w:val="000000"/>
              </w:rPr>
              <w:t>Размер фрейма</w:t>
            </w:r>
          </w:p>
        </w:tc>
        <w:tc>
          <w:tcPr>
            <w:tcW w:w="2264" w:type="dxa"/>
            <w:tcBorders>
              <w:top w:val="single" w:sz="6" w:space="0" w:color="000000"/>
              <w:bottom w:val="single" w:sz="6" w:space="0" w:color="000000"/>
            </w:tcBorders>
          </w:tcPr>
          <w:p>
            <w:pPr>
              <w:pStyle w:val="TableContents"/>
              <w:jc w:val="center"/>
              <w:rPr/>
            </w:pPr>
            <w:r>
              <w:rPr>
                <w:rFonts w:ascii="Liberation Serif" w:hAnsi="Liberation Serif"/>
                <w:color w:val="000000"/>
              </w:rPr>
              <w:t>Линейное ядро</w:t>
            </w:r>
          </w:p>
        </w:tc>
        <w:tc>
          <w:tcPr>
            <w:tcW w:w="2262" w:type="dxa"/>
            <w:tcBorders>
              <w:top w:val="single" w:sz="6" w:space="0" w:color="000000"/>
              <w:bottom w:val="single" w:sz="6" w:space="0" w:color="000000"/>
            </w:tcBorders>
          </w:tcPr>
          <w:p>
            <w:pPr>
              <w:pStyle w:val="TableContents"/>
              <w:jc w:val="center"/>
              <w:rPr/>
            </w:pPr>
            <w:r>
              <w:rPr>
                <w:rFonts w:ascii="Liberation Serif" w:hAnsi="Liberation Serif"/>
                <w:color w:val="000000"/>
              </w:rPr>
              <w:t>Полиномиальное ядро</w:t>
            </w:r>
          </w:p>
        </w:tc>
        <w:tc>
          <w:tcPr>
            <w:tcW w:w="2258" w:type="dxa"/>
            <w:tcBorders>
              <w:top w:val="single" w:sz="6" w:space="0" w:color="000000"/>
              <w:bottom w:val="single" w:sz="6" w:space="0" w:color="000000"/>
            </w:tcBorders>
          </w:tcPr>
          <w:p>
            <w:pPr>
              <w:pStyle w:val="TableContents"/>
              <w:jc w:val="center"/>
              <w:rPr/>
            </w:pPr>
            <w:r>
              <w:rPr>
                <w:rFonts w:ascii="Liberation Serif" w:hAnsi="Liberation Serif"/>
                <w:color w:val="000000"/>
              </w:rPr>
              <w:t>RBF ядро</w:t>
            </w:r>
          </w:p>
        </w:tc>
      </w:tr>
      <w:tr>
        <w:trPr/>
        <w:tc>
          <w:tcPr>
            <w:tcW w:w="2258" w:type="dxa"/>
            <w:tcBorders/>
          </w:tcPr>
          <w:p>
            <w:pPr>
              <w:pStyle w:val="TableContents"/>
              <w:jc w:val="center"/>
              <w:rPr>
                <w:rFonts w:ascii="Liberation Serif" w:hAnsi="Liberation Serif"/>
                <w:color w:val="000000"/>
              </w:rPr>
            </w:pPr>
            <w:r>
              <w:rPr>
                <w:rFonts w:ascii="Liberation Serif" w:hAnsi="Liberation Serif"/>
                <w:color w:val="000000"/>
              </w:rPr>
              <w:t>1024</w:t>
            </w:r>
          </w:p>
        </w:tc>
        <w:tc>
          <w:tcPr>
            <w:tcW w:w="2264" w:type="dxa"/>
            <w:tcBorders/>
          </w:tcPr>
          <w:p>
            <w:pPr>
              <w:pStyle w:val="TableContents"/>
              <w:jc w:val="center"/>
              <w:rPr>
                <w:rFonts w:ascii="Liberation Serif" w:hAnsi="Liberation Serif"/>
                <w:color w:val="000000"/>
              </w:rPr>
            </w:pPr>
            <w:r>
              <w:rPr>
                <w:rFonts w:ascii="Liberation Serif" w:hAnsi="Liberation Serif"/>
                <w:color w:val="000000"/>
              </w:rPr>
              <w:t>0.458 (C =0.01)</w:t>
            </w:r>
          </w:p>
        </w:tc>
        <w:tc>
          <w:tcPr>
            <w:tcW w:w="2262" w:type="dxa"/>
            <w:tcBorders/>
          </w:tcPr>
          <w:p>
            <w:pPr>
              <w:pStyle w:val="TableContents"/>
              <w:jc w:val="center"/>
              <w:rPr>
                <w:rFonts w:ascii="Liberation Serif" w:hAnsi="Liberation Serif"/>
                <w:color w:val="000000"/>
              </w:rPr>
            </w:pPr>
            <w:r>
              <w:rPr>
                <w:rFonts w:ascii="Liberation Serif" w:hAnsi="Liberation Serif"/>
                <w:color w:val="000000"/>
              </w:rPr>
              <w:t xml:space="preserve">0.457(C = 0.01, </w:t>
              <w:br/>
              <w:t>γ= 1, deg= 1)</w:t>
            </w:r>
          </w:p>
        </w:tc>
        <w:tc>
          <w:tcPr>
            <w:tcW w:w="2258" w:type="dxa"/>
            <w:tcBorders/>
          </w:tcPr>
          <w:p>
            <w:pPr>
              <w:pStyle w:val="TableContents"/>
              <w:jc w:val="center"/>
              <w:rPr>
                <w:rFonts w:ascii="Liberation Serif" w:hAnsi="Liberation Serif"/>
                <w:color w:val="000000"/>
              </w:rPr>
            </w:pPr>
            <w:r>
              <w:rPr>
                <w:rFonts w:ascii="Liberation Serif" w:hAnsi="Liberation Serif"/>
                <w:color w:val="000000"/>
              </w:rPr>
              <w:t xml:space="preserve">0.469 (C = 8.11, </w:t>
              <w:br/>
              <w:t>γ= 0.0008)</w:t>
            </w:r>
          </w:p>
        </w:tc>
      </w:tr>
      <w:tr>
        <w:trPr/>
        <w:tc>
          <w:tcPr>
            <w:tcW w:w="2258" w:type="dxa"/>
            <w:tcBorders/>
          </w:tcPr>
          <w:p>
            <w:pPr>
              <w:pStyle w:val="TableContents"/>
              <w:jc w:val="center"/>
              <w:rPr>
                <w:rFonts w:ascii="Liberation Serif" w:hAnsi="Liberation Serif"/>
                <w:color w:val="000000"/>
              </w:rPr>
            </w:pPr>
            <w:r>
              <w:rPr>
                <w:rFonts w:ascii="Liberation Serif" w:hAnsi="Liberation Serif"/>
                <w:color w:val="000000"/>
              </w:rPr>
              <w:t>2048</w:t>
            </w:r>
          </w:p>
        </w:tc>
        <w:tc>
          <w:tcPr>
            <w:tcW w:w="2264" w:type="dxa"/>
            <w:tcBorders/>
          </w:tcPr>
          <w:p>
            <w:pPr>
              <w:pStyle w:val="TableContents"/>
              <w:jc w:val="center"/>
              <w:rPr>
                <w:rFonts w:ascii="Liberation Serif" w:hAnsi="Liberation Serif"/>
                <w:color w:val="000000"/>
              </w:rPr>
            </w:pPr>
            <w:r>
              <w:rPr>
                <w:rFonts w:ascii="Liberation Serif" w:hAnsi="Liberation Serif"/>
                <w:color w:val="000000"/>
              </w:rPr>
              <w:t>0.451 (C =0.1)</w:t>
            </w:r>
          </w:p>
        </w:tc>
        <w:tc>
          <w:tcPr>
            <w:tcW w:w="2262" w:type="dxa"/>
            <w:tcBorders/>
          </w:tcPr>
          <w:p>
            <w:pPr>
              <w:pStyle w:val="TableContents"/>
              <w:jc w:val="center"/>
              <w:rPr>
                <w:rFonts w:ascii="Liberation Serif" w:hAnsi="Liberation Serif"/>
                <w:color w:val="000000"/>
              </w:rPr>
            </w:pPr>
            <w:r>
              <w:rPr>
                <w:rFonts w:ascii="Liberation Serif" w:hAnsi="Liberation Serif"/>
                <w:color w:val="000000"/>
              </w:rPr>
              <w:t xml:space="preserve">0.45 (C = 0.01, </w:t>
              <w:br/>
              <w:t>γ= 1, deg= 1)</w:t>
            </w:r>
          </w:p>
        </w:tc>
        <w:tc>
          <w:tcPr>
            <w:tcW w:w="2258" w:type="dxa"/>
            <w:tcBorders/>
          </w:tcPr>
          <w:p>
            <w:pPr>
              <w:pStyle w:val="TableContents"/>
              <w:jc w:val="center"/>
              <w:rPr>
                <w:rFonts w:ascii="Liberation Serif" w:hAnsi="Liberation Serif"/>
                <w:color w:val="000000"/>
              </w:rPr>
            </w:pPr>
            <w:r>
              <w:rPr>
                <w:rFonts w:ascii="Liberation Serif" w:hAnsi="Liberation Serif"/>
                <w:color w:val="000000"/>
              </w:rPr>
              <w:t xml:space="preserve">0.471 (C = 8.11, </w:t>
              <w:br/>
              <w:t>γ= 0.00088)</w:t>
            </w:r>
          </w:p>
        </w:tc>
      </w:tr>
      <w:tr>
        <w:trPr/>
        <w:tc>
          <w:tcPr>
            <w:tcW w:w="2258" w:type="dxa"/>
            <w:tcBorders/>
          </w:tcPr>
          <w:p>
            <w:pPr>
              <w:pStyle w:val="TableContents"/>
              <w:jc w:val="center"/>
              <w:rPr>
                <w:rFonts w:ascii="Liberation Serif" w:hAnsi="Liberation Serif"/>
                <w:color w:val="000000"/>
              </w:rPr>
            </w:pPr>
            <w:r>
              <w:rPr>
                <w:rFonts w:ascii="Liberation Serif" w:hAnsi="Liberation Serif"/>
                <w:color w:val="000000"/>
              </w:rPr>
              <w:t>4096</w:t>
            </w:r>
          </w:p>
        </w:tc>
        <w:tc>
          <w:tcPr>
            <w:tcW w:w="2264" w:type="dxa"/>
            <w:tcBorders/>
          </w:tcPr>
          <w:p>
            <w:pPr>
              <w:pStyle w:val="TableContents"/>
              <w:jc w:val="center"/>
              <w:rPr>
                <w:rFonts w:ascii="Liberation Serif" w:hAnsi="Liberation Serif"/>
                <w:color w:val="000000"/>
              </w:rPr>
            </w:pPr>
            <w:r>
              <w:rPr>
                <w:rFonts w:ascii="Liberation Serif" w:hAnsi="Liberation Serif"/>
                <w:color w:val="000000"/>
              </w:rPr>
              <w:t>0.454 (C =0.01)</w:t>
            </w:r>
          </w:p>
        </w:tc>
        <w:tc>
          <w:tcPr>
            <w:tcW w:w="2262" w:type="dxa"/>
            <w:tcBorders/>
          </w:tcPr>
          <w:p>
            <w:pPr>
              <w:pStyle w:val="TableContents"/>
              <w:jc w:val="center"/>
              <w:rPr>
                <w:rFonts w:ascii="Liberation Serif" w:hAnsi="Liberation Serif"/>
                <w:color w:val="000000"/>
              </w:rPr>
            </w:pPr>
            <w:r>
              <w:rPr>
                <w:rFonts w:ascii="Liberation Serif" w:hAnsi="Liberation Serif"/>
                <w:color w:val="000000"/>
              </w:rPr>
              <w:t xml:space="preserve">0.455 (C = 0.05, </w:t>
              <w:br/>
              <w:t>γ= 0.1, deg= 1)</w:t>
            </w:r>
          </w:p>
        </w:tc>
        <w:tc>
          <w:tcPr>
            <w:tcW w:w="2258" w:type="dxa"/>
            <w:tcBorders/>
          </w:tcPr>
          <w:p>
            <w:pPr>
              <w:pStyle w:val="TableContents"/>
              <w:jc w:val="center"/>
              <w:rPr>
                <w:rFonts w:ascii="Liberation Serif" w:hAnsi="Liberation Serif"/>
                <w:color w:val="000000"/>
              </w:rPr>
            </w:pPr>
            <w:r>
              <w:rPr>
                <w:rFonts w:ascii="Liberation Serif" w:hAnsi="Liberation Serif"/>
                <w:color w:val="000000"/>
              </w:rPr>
              <w:t xml:space="preserve">0.476 (C = 2.31, </w:t>
              <w:br/>
              <w:t>γ= 0.0014</w:t>
            </w:r>
          </w:p>
        </w:tc>
      </w:tr>
      <w:tr>
        <w:trPr/>
        <w:tc>
          <w:tcPr>
            <w:tcW w:w="2258"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8192</w:t>
            </w:r>
          </w:p>
        </w:tc>
        <w:tc>
          <w:tcPr>
            <w:tcW w:w="2264"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2"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w:t>
              <w:br/>
              <w:t xml:space="preserve"> γ= 0.1, deg= 1)</w:t>
            </w:r>
          </w:p>
        </w:tc>
        <w:tc>
          <w:tcPr>
            <w:tcW w:w="2258"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br/>
              <w:t>γ= 0.014)</w:t>
            </w:r>
          </w:p>
        </w:tc>
      </w:tr>
    </w:tbl>
    <w:p>
      <w:pPr>
        <w:pStyle w:val="BodyText"/>
        <w:rPr>
          <w:lang w:val="en-US"/>
        </w:rPr>
      </w:pPr>
      <w:r>
        <w:rPr>
          <w:lang w:val="en-US"/>
        </w:rPr>
      </w:r>
    </w:p>
    <w:p>
      <w:pPr>
        <w:pStyle w:val="Style11"/>
        <w:rPr/>
      </w:pPr>
      <w:r>
        <w:rPr/>
        <w:t>Наилучшее значение UAR 48% 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pPr>
        <w:pStyle w:val="Style12"/>
        <w:rPr>
          <w:highlight w:val="yellow"/>
        </w:rPr>
      </w:pPr>
      <w:r>
        <w:rPr/>
        <w:drawing>
          <wp:inline distT="0" distB="0" distL="0" distR="0">
            <wp:extent cx="2366645" cy="2435860"/>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10"/>
                    <a:stretch>
                      <a:fillRect/>
                    </a:stretch>
                  </pic:blipFill>
                  <pic:spPr bwMode="auto">
                    <a:xfrm>
                      <a:off x="0" y="0"/>
                      <a:ext cx="2366645" cy="2435860"/>
                    </a:xfrm>
                    <a:prstGeom prst="rect">
                      <a:avLst/>
                    </a:prstGeom>
                  </pic:spPr>
                </pic:pic>
              </a:graphicData>
            </a:graphic>
          </wp:inline>
        </w:drawing>
      </w:r>
    </w:p>
    <w:p>
      <w:pPr>
        <w:pStyle w:val="Style12"/>
        <w:rPr/>
      </w:pPr>
      <w:r>
        <w:rPr/>
        <w:t>Рис.5. Поверхность UAR</w:t>
      </w:r>
    </w:p>
    <w:p>
      <w:pPr>
        <w:pStyle w:val="Style12"/>
        <w:rPr/>
      </w:pPr>
      <w:r>
        <w:rPr/>
        <w:t>Fig. 5. UAR surface</w:t>
      </w:r>
    </w:p>
    <w:p>
      <w:pPr>
        <w:pStyle w:val="Style12"/>
        <w:rPr/>
      </w:pPr>
      <w:r>
        <w:rPr/>
        <w:drawing>
          <wp:inline distT="0" distB="0" distL="0" distR="0">
            <wp:extent cx="4359910" cy="3653790"/>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
                    <pic:cNvPicPr>
                      <a:picLocks noChangeAspect="1" noChangeArrowheads="1"/>
                    </pic:cNvPicPr>
                  </pic:nvPicPr>
                  <pic:blipFill>
                    <a:blip r:embed="rId11"/>
                    <a:stretch>
                      <a:fillRect/>
                    </a:stretch>
                  </pic:blipFill>
                  <pic:spPr bwMode="auto">
                    <a:xfrm>
                      <a:off x="0" y="0"/>
                      <a:ext cx="4359910" cy="3653790"/>
                    </a:xfrm>
                    <a:prstGeom prst="rect">
                      <a:avLst/>
                    </a:prstGeom>
                  </pic:spPr>
                </pic:pic>
              </a:graphicData>
            </a:graphic>
          </wp:inline>
        </w:drawing>
      </w:r>
    </w:p>
    <w:p>
      <w:pPr>
        <w:pStyle w:val="Style12"/>
        <w:rPr/>
      </w:pPr>
      <w:r>
        <w:rPr/>
        <w:t>Рис 6. Мультиклассовая матрица спутывания (Multiclass confusion matrix)</w:t>
      </w:r>
    </w:p>
    <w:p>
      <w:pPr>
        <w:pStyle w:val="Style12"/>
        <w:rPr/>
      </w:pPr>
      <w:r>
        <w:rPr/>
        <w:t>Fig 6. Multiclass confusion matrix</w:t>
      </w:r>
    </w:p>
    <w:p>
      <w:pPr>
        <w:pStyle w:val="Style11"/>
        <w:rPr/>
      </w:pPr>
      <w:r>
        <w:rPr/>
        <w:t>На рис. 6 представлена матрица спутывания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pPr>
        <w:pStyle w:val="Style11"/>
        <w:rPr/>
      </w:pPr>
      <w:r>
        <w:rPr/>
        <w:t>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pPr>
        <w:pStyle w:val="Normal"/>
        <w:keepNext w:val="true"/>
        <w:keepLines/>
        <w:numPr>
          <w:ilvl w:val="0"/>
          <w:numId w:val="0"/>
        </w:numPr>
        <w:tabs>
          <w:tab w:val="left" w:pos="709" w:leader="none"/>
        </w:tabs>
        <w:spacing w:before="360" w:after="240"/>
        <w:ind w:hanging="0" w:left="0"/>
        <w:jc w:val="center"/>
        <w:outlineLvl w:val="0"/>
        <w:rPr/>
      </w:pPr>
      <w:r>
        <w:rPr>
          <w:rFonts w:eastAsia="Times New Roman"/>
          <w:b/>
          <w:kern w:val="2"/>
          <w:sz w:val="22"/>
          <w:lang w:val="ru-RU" w:eastAsia="ru-RU"/>
        </w:rPr>
        <w:t>Заключение</w:t>
      </w:r>
    </w:p>
    <w:p>
      <w:pPr>
        <w:pStyle w:val="Style11"/>
        <w:rPr/>
      </w:pPr>
      <w:r>
        <w:rPr/>
        <w:t>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при использовании SVM-RBF с характеристиками MFCC, рассчитанными на основе кадров длительностью 85 мс. По сравнению с другими работами [2]–[5] есть возможности для улучшения.</w:t>
      </w:r>
    </w:p>
    <w:p>
      <w:pPr>
        <w:pStyle w:val="Normal"/>
        <w:keepNext w:val="true"/>
        <w:keepLines/>
        <w:numPr>
          <w:ilvl w:val="0"/>
          <w:numId w:val="0"/>
        </w:numPr>
        <w:tabs>
          <w:tab w:val="left" w:pos="709" w:leader="none"/>
        </w:tabs>
        <w:spacing w:before="360" w:after="240"/>
        <w:ind w:hanging="0" w:left="0"/>
        <w:jc w:val="center"/>
        <w:outlineLvl w:val="0"/>
        <w:rPr/>
      </w:pPr>
      <w:r>
        <w:rPr>
          <w:rFonts w:eastAsia="Times New Roman"/>
          <w:b/>
          <w:kern w:val="2"/>
          <w:sz w:val="22"/>
          <w:lang w:val="ru-RU" w:eastAsia="ru-RU"/>
        </w:rPr>
        <w:t xml:space="preserve">Список литературы / </w:t>
      </w:r>
      <w:r>
        <w:rPr>
          <w:rFonts w:eastAsia="Times New Roman"/>
          <w:b/>
          <w:kern w:val="2"/>
          <w:sz w:val="22"/>
          <w:lang w:val="en-US" w:eastAsia="ru-RU"/>
        </w:rPr>
        <w:t>References</w:t>
      </w:r>
    </w:p>
    <w:p>
      <w:pPr>
        <w:pStyle w:val="Normal"/>
        <w:numPr>
          <w:ilvl w:val="0"/>
          <w:numId w:val="2"/>
        </w:numPr>
        <w:ind w:hanging="369" w:left="369"/>
        <w:jc w:val="both"/>
        <w:rPr>
          <w:spacing w:val="-4"/>
          <w:lang w:val="en-US"/>
        </w:rPr>
      </w:pPr>
      <w:r>
        <w:rPr>
          <w:spacing w:val="-4"/>
        </w:rPr>
        <w:t>D. Issa, M. F. Demirci, and A. Yazici, “Speech emotion recognition with deep convolutional neural networks,” Biomedical Signal Processing and Control, vol. 59, 2020.</w:t>
      </w:r>
    </w:p>
    <w:p>
      <w:pPr>
        <w:pStyle w:val="Normal"/>
        <w:numPr>
          <w:ilvl w:val="0"/>
          <w:numId w:val="2"/>
        </w:numPr>
        <w:ind w:hanging="369" w:left="369"/>
        <w:jc w:val="both"/>
        <w:rPr/>
      </w:pPr>
      <w:r>
        <w:rPr>
          <w:spacing w:val="-4"/>
          <w:lang w:val="en-US"/>
        </w:rPr>
        <w:t>C. Luna-Jiménez, D. Griol, Z. Callejas, R. Kleinlein, J. M. Montero, and F. Fernández-Martı́nez, “Multimodal emotion recognition on RAVDESS dataset using transfer learning,” Sensors, vol. 21, no. 22, pp. 1–29, 2021.</w:t>
      </w:r>
    </w:p>
    <w:p>
      <w:pPr>
        <w:pStyle w:val="Normal"/>
        <w:numPr>
          <w:ilvl w:val="0"/>
          <w:numId w:val="2"/>
        </w:numPr>
        <w:ind w:hanging="369" w:left="369"/>
        <w:jc w:val="both"/>
        <w:rPr>
          <w:spacing w:val="-4"/>
          <w:lang w:val="en-US"/>
        </w:rPr>
      </w:pPr>
      <w:r>
        <w:rPr>
          <w:spacing w:val="-4"/>
          <w:lang w:val="en-US"/>
        </w:rPr>
        <w:t xml:space="preserve">Xiao, H.; Li, W.; Zeng, G.; Wu, Y.; Xue, J.; Zhang, J.; Li, C.; Guo, G. On-Road Driver Emotion Recognition Using Facial Expression. </w:t>
      </w:r>
      <w:r>
        <w:rPr>
          <w:rStyle w:val="Emphasis"/>
          <w:spacing w:val="-4"/>
          <w:lang w:val="en-US"/>
        </w:rPr>
        <w:t>Appl. Sci.</w:t>
      </w:r>
      <w:r>
        <w:rPr>
          <w:spacing w:val="-4"/>
          <w:lang w:val="en-US"/>
        </w:rPr>
        <w:t xml:space="preserve"> </w:t>
      </w:r>
      <w:r>
        <w:rPr>
          <w:b w:val="false"/>
          <w:bCs w:val="false"/>
          <w:spacing w:val="-4"/>
          <w:lang w:val="en-US"/>
        </w:rPr>
        <w:t>2022</w:t>
      </w:r>
      <w:r>
        <w:rPr>
          <w:spacing w:val="-4"/>
          <w:lang w:val="en-US"/>
        </w:rPr>
        <w:t xml:space="preserve">, </w:t>
      </w:r>
      <w:r>
        <w:rPr>
          <w:rStyle w:val="Emphasis"/>
          <w:spacing w:val="-4"/>
          <w:lang w:val="en-US"/>
        </w:rPr>
        <w:t>12</w:t>
      </w:r>
      <w:r>
        <w:rPr>
          <w:spacing w:val="-4"/>
          <w:lang w:val="en-US"/>
        </w:rPr>
        <w:t xml:space="preserve">, 807. https://doi.org/10.3390/app12020807 </w:t>
      </w:r>
    </w:p>
    <w:p>
      <w:pPr>
        <w:pStyle w:val="Normal"/>
        <w:numPr>
          <w:ilvl w:val="0"/>
          <w:numId w:val="2"/>
        </w:numPr>
        <w:ind w:hanging="369" w:left="369"/>
        <w:jc w:val="both"/>
        <w:rPr/>
      </w:pPr>
      <w:r>
        <w:rPr>
          <w:spacing w:val="-4"/>
          <w:lang w:val="en-US"/>
        </w:rPr>
        <w:t>S. Sadok, S. Leglaive, and R. Séguier, “A vector quantized masked autoencoder for speech emotion recognition,” arXiv preprint arXiv:2304.11117, 2023.</w:t>
      </w:r>
    </w:p>
    <w:p>
      <w:pPr>
        <w:pStyle w:val="Normal"/>
        <w:numPr>
          <w:ilvl w:val="0"/>
          <w:numId w:val="2"/>
        </w:numPr>
        <w:ind w:hanging="369" w:left="369"/>
        <w:jc w:val="both"/>
        <w:rPr/>
      </w:pPr>
      <w:r>
        <w:rPr>
          <w:spacing w:val="-4"/>
          <w:lang w:val="en-US"/>
        </w:rPr>
        <w:t>A. Bhavan, P. Chauhan, R. R. Shah et al., “Bagged support vector machines for emotion recognition from speech,” Knowledge-Based Systems, vol. 184, pp. 1–7, 2019.</w:t>
      </w:r>
    </w:p>
    <w:p>
      <w:pPr>
        <w:pStyle w:val="Normal"/>
        <w:numPr>
          <w:ilvl w:val="0"/>
          <w:numId w:val="2"/>
        </w:numPr>
        <w:ind w:hanging="369" w:left="369"/>
        <w:jc w:val="both"/>
        <w:rPr/>
      </w:pPr>
      <w:r>
        <w:rPr>
          <w:spacing w:val="-4"/>
          <w:lang w:val="en-US"/>
        </w:rPr>
        <w:t>M. Baruah and B. Banerjee, “Speech emotion recognition via generation using an attention-based variational recurrent neural network,” Proc. Interspeech 2022, pp. 4710–4714, 2022.</w:t>
      </w:r>
    </w:p>
    <w:p>
      <w:pPr>
        <w:pStyle w:val="Normal"/>
        <w:numPr>
          <w:ilvl w:val="0"/>
          <w:numId w:val="2"/>
        </w:numPr>
        <w:ind w:hanging="369" w:left="369"/>
        <w:jc w:val="both"/>
        <w:rPr/>
      </w:pPr>
      <w:r>
        <w:rPr/>
        <w:t>Yu, C., Tian, Q., Cheng, F., Zhang, S. (2011). Speech Emotion Recognition Using Support Vector Machines. In: Shen, G., Huang, X. (eds) Advanced Research on Computer Science and Information Engineering. CSIE 2011. Communications in Computer and Information Science, vol 152. Springer, Berlin, Heidelberg. https://doi.org/10.1007/978-3-642-21402-8_35</w:t>
      </w:r>
    </w:p>
    <w:p>
      <w:pPr>
        <w:pStyle w:val="Normal"/>
        <w:numPr>
          <w:ilvl w:val="0"/>
          <w:numId w:val="2"/>
        </w:numPr>
        <w:ind w:hanging="369" w:left="369"/>
        <w:jc w:val="both"/>
        <w:rPr/>
      </w:pPr>
      <w:r>
        <w:rPr>
          <w:spacing w:val="-4"/>
          <w:lang w:val="en-US"/>
        </w:rPr>
        <w:t>X. Huang, A. Acero, H.-W. Hon, and R. Foreword By-Reddy, Spoken language processing: A guide to theory, algorithm, and system development. Prentice hall PTR, 2001.</w:t>
      </w:r>
    </w:p>
    <w:p>
      <w:pPr>
        <w:pStyle w:val="Normal"/>
        <w:numPr>
          <w:ilvl w:val="0"/>
          <w:numId w:val="2"/>
        </w:numPr>
        <w:ind w:hanging="369" w:left="369"/>
        <w:jc w:val="both"/>
        <w:rPr/>
      </w:pPr>
      <w:r>
        <w:rPr>
          <w:spacing w:val="-4"/>
          <w:lang w:val="en-US"/>
        </w:rPr>
        <w:t>T. Hastie, R. Tibshirani, J. H. Friedman, and J. H. Friedman, The elements of statistical learning: data mining, inference, and prediction. Springer, 2009.</w:t>
      </w:r>
    </w:p>
    <w:p>
      <w:pPr>
        <w:pStyle w:val="Normal"/>
        <w:numPr>
          <w:ilvl w:val="0"/>
          <w:numId w:val="2"/>
        </w:numPr>
        <w:ind w:hanging="369" w:left="369"/>
        <w:jc w:val="both"/>
        <w:rPr/>
      </w:pPr>
      <w:r>
        <w:rPr>
          <w:spacing w:val="-4"/>
          <w:lang w:val="en-US"/>
        </w:rPr>
        <w:t>C. K. On, P. M. Pandiyan, S. Yaacob, and A. Saudi, “Mel-frequency cepstral coefficient analysis in speech recognition,” in 2006 International Conference on Computing &amp; Informatics, 2006, pp. 1–5.</w:t>
      </w:r>
    </w:p>
    <w:p>
      <w:pPr>
        <w:pStyle w:val="Normal"/>
        <w:numPr>
          <w:ilvl w:val="0"/>
          <w:numId w:val="2"/>
        </w:numPr>
        <w:ind w:hanging="369" w:left="369"/>
        <w:jc w:val="both"/>
        <w:rPr/>
      </w:pPr>
      <w:r>
        <w:rPr>
          <w:spacing w:val="-4"/>
          <w:lang w:val="en-US"/>
        </w:rPr>
        <w:t>M. M. Goodwin, “The STFT, sinusoidal models, and speech modification,” Springer Handbook of Speech Processing, pp. 229–258, 2008.</w:t>
      </w:r>
    </w:p>
    <w:p>
      <w:pPr>
        <w:pStyle w:val="Normal"/>
        <w:numPr>
          <w:ilvl w:val="0"/>
          <w:numId w:val="2"/>
        </w:numPr>
        <w:ind w:hanging="369" w:left="369"/>
        <w:jc w:val="both"/>
        <w:rPr/>
      </w:pPr>
      <w:r>
        <w:rPr>
          <w:spacing w:val="-4"/>
          <w:lang w:val="en-US"/>
        </w:rPr>
        <w:t>S. R. Livingstone and F. A. Russo, “The ryerson audio-visual database of emotional speech and song (ravdess): A dynamic, multimodal set of facial and vocal expressions in north american english,” PloS one, vol. 13, no. 5, p. e0196391, 2018.</w:t>
      </w:r>
    </w:p>
    <w:p>
      <w:pPr>
        <w:pStyle w:val="Normal"/>
        <w:numPr>
          <w:ilvl w:val="0"/>
          <w:numId w:val="2"/>
        </w:numPr>
        <w:ind w:hanging="369" w:left="369"/>
        <w:jc w:val="both"/>
        <w:rPr/>
      </w:pPr>
      <w:r>
        <w:rPr>
          <w:spacing w:val="-4"/>
          <w:lang w:val="en-US"/>
        </w:rPr>
        <w:t>Luna-Jiménez, C.; Griol, D.; Callejas, Z.; Kleinlein, R.; Montero, J.M.; Fernández-Martínez, F. Multimodal Emotion Recognition on RAVDESS Dataset Using Transfer Learning. Sensors 2021, 21, 7665. https://doi.org/10.3390/s21227665</w:t>
      </w:r>
    </w:p>
    <w:p>
      <w:pPr>
        <w:pStyle w:val="Normal"/>
        <w:keepNext w:val="true"/>
        <w:keepLines/>
        <w:numPr>
          <w:ilvl w:val="0"/>
          <w:numId w:val="0"/>
        </w:numPr>
        <w:tabs>
          <w:tab w:val="left" w:pos="709" w:leader="none"/>
        </w:tabs>
        <w:spacing w:before="360" w:after="240"/>
        <w:ind w:hanging="0" w:left="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pPr>
        <w:pStyle w:val="Normal"/>
        <w:shd w:val="clear" w:color="auto" w:fill="FFFFFF"/>
        <w:spacing w:before="120" w:after="0"/>
        <w:ind w:firstLine="709"/>
        <w:jc w:val="both"/>
        <w:rPr>
          <w:rFonts w:eastAsia="Times New Roman"/>
          <w:sz w:val="22"/>
          <w:szCs w:val="22"/>
          <w:highlight w:val="yellow"/>
          <w:lang w:val="ru-RU"/>
        </w:rPr>
      </w:pPr>
      <w:r>
        <w:rPr>
          <w:rFonts w:eastAsia="Times New Roman"/>
          <w:sz w:val="22"/>
          <w:szCs w:val="22"/>
          <w:highlight w:val="yellow"/>
          <w:lang w:val="ru-RU"/>
        </w:rPr>
        <w:t>Вашкевич М.И. цель и задачи исследования, предложил идею барк-частотного кепстрального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w:t>
      </w:r>
    </w:p>
    <w:p>
      <w:pPr>
        <w:pStyle w:val="Normal"/>
        <w:keepNext w:val="true"/>
        <w:keepLines/>
        <w:numPr>
          <w:ilvl w:val="0"/>
          <w:numId w:val="0"/>
        </w:numPr>
        <w:tabs>
          <w:tab w:val="left" w:pos="709" w:leader="none"/>
        </w:tabs>
        <w:spacing w:before="360" w:after="240"/>
        <w:ind w:hanging="0" w:left="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pPr>
        <w:pStyle w:val="Normal"/>
        <w:shd w:val="clear" w:color="auto" w:fill="FFFFFF"/>
        <w:spacing w:before="120" w:after="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Likhachov D.S. carried out the software implementation of the calculation of the MFCC, participated in the preparation of the software tools for the experiment. </w:t>
      </w:r>
    </w:p>
    <w:p>
      <w:pPr>
        <w:pStyle w:val="Normal"/>
        <w:rPr>
          <w:highlight w:val="yellow"/>
        </w:rPr>
      </w:pPr>
      <w:r>
        <w:rPr>
          <w:highlight w:val="yellow"/>
        </w:rPr>
      </w:r>
    </w:p>
    <w:tbl>
      <w:tblPr>
        <w:tblW w:w="91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442"/>
        <w:gridCol w:w="239"/>
        <w:gridCol w:w="4444"/>
      </w:tblGrid>
      <w:tr>
        <w:trPr/>
        <w:tc>
          <w:tcPr>
            <w:tcW w:w="4442" w:type="dxa"/>
            <w:tcBorders/>
            <w:shd w:color="auto" w:fill="auto" w:val="clear"/>
          </w:tcPr>
          <w:p>
            <w:pPr>
              <w:pStyle w:val="Normal"/>
              <w:widowControl w:val="false"/>
              <w:spacing w:before="0" w:after="120"/>
              <w:jc w:val="center"/>
              <w:rPr>
                <w:rFonts w:eastAsia="Times New Roman"/>
                <w:b/>
                <w:lang w:val="ru-RU" w:eastAsia="ru-RU"/>
              </w:rPr>
            </w:pPr>
            <w:r>
              <w:rPr>
                <w:rFonts w:eastAsia="Times New Roman"/>
                <w:b/>
                <w:lang w:val="ru-RU" w:eastAsia="ru-RU"/>
              </w:rPr>
              <w:t>Сведения об авторах</w:t>
            </w:r>
          </w:p>
          <w:p>
            <w:pPr>
              <w:pStyle w:val="Normal"/>
              <w:widowControl w:val="false"/>
              <w:spacing w:before="0" w:after="240"/>
              <w:jc w:val="both"/>
              <w:rPr>
                <w:rFonts w:eastAsia="Times New Roman"/>
                <w:lang w:val="ru-RU"/>
              </w:rPr>
            </w:pPr>
            <w:r>
              <w:rPr>
                <w:rFonts w:eastAsia="Times New Roman"/>
                <w:lang w:val="ru-RU"/>
              </w:rPr>
              <w:t>Краснопрошин Д.В., магистрант кафедры электронных вычислительных средств ФКСиС БГУИР</w:t>
            </w:r>
          </w:p>
          <w:p>
            <w:pPr>
              <w:pStyle w:val="Normal"/>
              <w:widowControl w:val="false"/>
              <w:spacing w:before="0" w:after="240"/>
              <w:jc w:val="both"/>
              <w:rPr>
                <w:rFonts w:eastAsia="Times New Roman"/>
                <w:lang w:val="ru-RU"/>
              </w:rPr>
            </w:pPr>
            <w:r>
              <w:rPr>
                <w:rFonts w:eastAsia="Times New Roman"/>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tc>
        <w:tc>
          <w:tcPr>
            <w:tcW w:w="239" w:type="dxa"/>
            <w:tcBorders/>
            <w:shd w:color="auto" w:fill="auto" w:val="clear"/>
          </w:tcPr>
          <w:p>
            <w:pPr>
              <w:pStyle w:val="Normal"/>
              <w:widowControl w:val="false"/>
              <w:jc w:val="both"/>
              <w:rPr>
                <w:rFonts w:eastAsia="Times New Roman"/>
                <w:spacing w:val="-4"/>
              </w:rPr>
            </w:pPr>
            <w:r>
              <w:rPr>
                <w:rFonts w:eastAsia="Times New Roman"/>
                <w:spacing w:val="-4"/>
              </w:rPr>
            </w:r>
          </w:p>
        </w:tc>
        <w:tc>
          <w:tcPr>
            <w:tcW w:w="4444" w:type="dxa"/>
            <w:tcBorders/>
            <w:shd w:color="auto" w:fill="auto" w:val="clear"/>
          </w:tcPr>
          <w:p>
            <w:pPr>
              <w:pStyle w:val="Normal"/>
              <w:widowControl w:val="false"/>
              <w:tabs>
                <w:tab w:val="left" w:pos="709" w:leader="none"/>
              </w:tabs>
              <w:spacing w:before="0"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pPr>
              <w:pStyle w:val="Normal"/>
              <w:widowControl w:val="false"/>
              <w:spacing w:before="0" w:after="240"/>
              <w:jc w:val="both"/>
              <w:rPr>
                <w:rFonts w:eastAsia="Times New Roman"/>
                <w:lang w:val="ru-RU"/>
              </w:rPr>
            </w:pPr>
            <w:r>
              <w:rPr>
                <w:rFonts w:eastAsia="Times New Roman"/>
                <w:lang w:val="ru-RU"/>
              </w:rPr>
              <w:t>D.V. Krasnoproshin master student, Department of Electronic Computing Facilities in BSUIR</w:t>
            </w:r>
          </w:p>
          <w:p>
            <w:pPr>
              <w:pStyle w:val="Default"/>
              <w:widowControl w:val="false"/>
              <w:jc w:val="both"/>
              <w:rPr>
                <w:sz w:val="20"/>
                <w:szCs w:val="20"/>
              </w:rPr>
            </w:pPr>
            <w:r>
              <w:rPr>
                <w:sz w:val="20"/>
                <w:szCs w:val="20"/>
              </w:rPr>
            </w:r>
          </w:p>
          <w:p>
            <w:pPr>
              <w:pStyle w:val="Default"/>
              <w:widowControl w:val="false"/>
              <w:jc w:val="both"/>
              <w:rPr>
                <w:rFonts w:eastAsia="Times New Roman"/>
              </w:rPr>
            </w:pPr>
            <w:r>
              <w:rPr>
                <w:rFonts w:eastAsia="Times New Roman"/>
                <w:sz w:val="20"/>
                <w:szCs w:val="20"/>
              </w:rPr>
              <w:t>M.I. Vashkevich Professor, Department of Electronic Computing Facilities in BSUIR, DrSc.</w:t>
            </w:r>
          </w:p>
          <w:p>
            <w:pPr>
              <w:pStyle w:val="Default"/>
              <w:widowControl w:val="false"/>
              <w:jc w:val="both"/>
              <w:rPr>
                <w:rFonts w:eastAsia="Times New Roman"/>
              </w:rPr>
            </w:pPr>
            <w:r>
              <w:rPr>
                <w:rFonts w:eastAsia="Times New Roman"/>
              </w:rPr>
            </w:r>
          </w:p>
          <w:p>
            <w:pPr>
              <w:pStyle w:val="Default"/>
              <w:widowControl w:val="false"/>
              <w:jc w:val="both"/>
              <w:rPr>
                <w:sz w:val="20"/>
                <w:szCs w:val="20"/>
              </w:rPr>
            </w:pPr>
            <w:r>
              <w:rPr>
                <w:sz w:val="20"/>
                <w:szCs w:val="20"/>
              </w:rPr>
            </w:r>
          </w:p>
        </w:tc>
      </w:tr>
      <w:tr>
        <w:trPr/>
        <w:tc>
          <w:tcPr>
            <w:tcW w:w="4442" w:type="dxa"/>
            <w:tcBorders/>
            <w:shd w:color="auto" w:fill="auto" w:val="clear"/>
          </w:tcPr>
          <w:p>
            <w:pPr>
              <w:pStyle w:val="Normal"/>
              <w:widowControl w:val="false"/>
              <w:tabs>
                <w:tab w:val="left" w:pos="709" w:leader="none"/>
              </w:tabs>
              <w:spacing w:before="0" w:after="120"/>
              <w:jc w:val="center"/>
              <w:rPr>
                <w:highlight w:val="none"/>
                <w:shd w:fill="auto" w:val="clear"/>
              </w:rPr>
            </w:pPr>
            <w:r>
              <w:rPr>
                <w:rFonts w:eastAsia="Times New Roman"/>
                <w:b/>
                <w:shd w:fill="auto" w:val="clear"/>
                <w:lang w:val="ru-RU"/>
              </w:rPr>
              <w:t>Адрес для корреспонденции</w:t>
            </w:r>
          </w:p>
          <w:p>
            <w:pPr>
              <w:pStyle w:val="Default"/>
              <w:widowControl w:val="false"/>
              <w:jc w:val="both"/>
              <w:rPr>
                <w:highlight w:val="none"/>
                <w:shd w:fill="auto" w:val="clear"/>
              </w:rPr>
            </w:pPr>
            <w:r>
              <w:rPr>
                <w:sz w:val="20"/>
                <w:szCs w:val="20"/>
                <w:shd w:fill="auto" w:val="clear"/>
                <w:lang w:val="ru-RU"/>
              </w:rPr>
              <w:t>220013, Республика Беларусь, г. Минск, ул. П. Бровки, д. 6, Белорусский государственный университет информатики и радиоэлектроники</w:t>
            </w:r>
          </w:p>
          <w:p>
            <w:pPr>
              <w:pStyle w:val="Default"/>
              <w:widowControl w:val="false"/>
              <w:jc w:val="both"/>
              <w:rPr>
                <w:highlight w:val="none"/>
                <w:shd w:fill="auto" w:val="clear"/>
              </w:rPr>
            </w:pPr>
            <w:r>
              <w:rPr>
                <w:sz w:val="20"/>
                <w:szCs w:val="20"/>
                <w:shd w:fill="auto" w:val="clear"/>
                <w:lang w:val="ru-RU"/>
              </w:rPr>
              <w:t>тел</w:t>
            </w:r>
            <w:r>
              <w:rPr>
                <w:sz w:val="20"/>
                <w:szCs w:val="20"/>
                <w:shd w:fill="auto" w:val="clear"/>
              </w:rPr>
              <w:t>. +375-17-293-84-78;</w:t>
            </w:r>
          </w:p>
          <w:p>
            <w:pPr>
              <w:pStyle w:val="Default"/>
              <w:widowControl w:val="false"/>
              <w:jc w:val="both"/>
              <w:rPr>
                <w:highlight w:val="none"/>
                <w:shd w:fill="auto" w:val="clear"/>
              </w:rPr>
            </w:pPr>
            <w:r>
              <w:rPr>
                <w:sz w:val="20"/>
                <w:szCs w:val="20"/>
                <w:shd w:fill="auto" w:val="clear"/>
              </w:rPr>
              <w:t>e-mail: vashkevich@bsuir.by</w:t>
            </w:r>
          </w:p>
          <w:p>
            <w:pPr>
              <w:pStyle w:val="Normal"/>
              <w:widowControl w:val="false"/>
              <w:jc w:val="both"/>
              <w:rPr>
                <w:highlight w:val="none"/>
                <w:shd w:fill="auto" w:val="clear"/>
              </w:rPr>
            </w:pPr>
            <w:r>
              <w:rPr>
                <w:shd w:fill="auto" w:val="clear"/>
                <w:lang w:val="ru-RU"/>
              </w:rPr>
              <w:t>Вашкевич Максим Иосифович</w:t>
            </w:r>
          </w:p>
        </w:tc>
        <w:tc>
          <w:tcPr>
            <w:tcW w:w="239" w:type="dxa"/>
            <w:tcBorders/>
            <w:shd w:color="auto" w:fill="auto" w:val="clear"/>
          </w:tcPr>
          <w:p>
            <w:pPr>
              <w:pStyle w:val="Normal"/>
              <w:widowControl w:val="false"/>
              <w:jc w:val="both"/>
              <w:rPr>
                <w:rFonts w:eastAsia="Times New Roman"/>
                <w:spacing w:val="-4"/>
                <w:highlight w:val="yellow"/>
              </w:rPr>
            </w:pPr>
            <w:r>
              <w:rPr>
                <w:rFonts w:eastAsia="Times New Roman"/>
                <w:spacing w:val="-4"/>
                <w:highlight w:val="yellow"/>
              </w:rPr>
            </w:r>
          </w:p>
        </w:tc>
        <w:tc>
          <w:tcPr>
            <w:tcW w:w="4444" w:type="dxa"/>
            <w:tcBorders/>
            <w:shd w:color="auto" w:fill="auto" w:val="clear"/>
          </w:tcPr>
          <w:p>
            <w:pPr>
              <w:pStyle w:val="Normal"/>
              <w:widowControl w:val="false"/>
              <w:tabs>
                <w:tab w:val="left" w:pos="709" w:leader="none"/>
              </w:tabs>
              <w:spacing w:before="0" w:after="120"/>
              <w:jc w:val="center"/>
              <w:rPr>
                <w:highlight w:val="none"/>
                <w:shd w:fill="auto" w:val="clear"/>
              </w:rPr>
            </w:pPr>
            <w:r>
              <w:rPr>
                <w:rFonts w:eastAsia="Times New Roman"/>
                <w:b/>
                <w:shd w:fill="auto" w:val="clear"/>
              </w:rPr>
              <w:t>Address for correspondence</w:t>
            </w:r>
          </w:p>
          <w:p>
            <w:pPr>
              <w:pStyle w:val="Default"/>
              <w:widowControl w:val="false"/>
              <w:jc w:val="both"/>
              <w:rPr>
                <w:highlight w:val="none"/>
                <w:shd w:fill="auto" w:val="clear"/>
              </w:rPr>
            </w:pPr>
            <w:r>
              <w:rPr>
                <w:sz w:val="20"/>
                <w:szCs w:val="20"/>
                <w:shd w:fill="auto" w:val="clear"/>
              </w:rPr>
              <w:t>220013, Republic of Belarus, Minsk, P. Brovki str., 6, Belarusian State University of Informatics and Radioelectronics</w:t>
            </w:r>
          </w:p>
          <w:p>
            <w:pPr>
              <w:pStyle w:val="Default"/>
              <w:widowControl w:val="false"/>
              <w:jc w:val="both"/>
              <w:rPr>
                <w:highlight w:val="none"/>
                <w:shd w:fill="auto" w:val="clear"/>
              </w:rPr>
            </w:pPr>
            <w:r>
              <w:rPr>
                <w:sz w:val="20"/>
                <w:szCs w:val="20"/>
                <w:shd w:fill="auto" w:val="clear"/>
              </w:rPr>
              <w:t>tel. +375-17-293-84-78;</w:t>
            </w:r>
          </w:p>
          <w:p>
            <w:pPr>
              <w:pStyle w:val="Default"/>
              <w:widowControl w:val="false"/>
              <w:jc w:val="both"/>
              <w:rPr>
                <w:highlight w:val="none"/>
                <w:shd w:fill="auto" w:val="clear"/>
              </w:rPr>
            </w:pPr>
            <w:r>
              <w:rPr>
                <w:sz w:val="20"/>
                <w:szCs w:val="20"/>
                <w:shd w:fill="auto" w:val="clear"/>
              </w:rPr>
              <w:t>e-mail: vashkevich@bsuir.by</w:t>
            </w:r>
          </w:p>
          <w:p>
            <w:pPr>
              <w:pStyle w:val="Normal"/>
              <w:widowControl w:val="false"/>
              <w:jc w:val="both"/>
              <w:rPr>
                <w:highlight w:val="none"/>
                <w:shd w:fill="auto" w:val="clear"/>
              </w:rPr>
            </w:pPr>
            <w:r>
              <w:rPr>
                <w:shd w:fill="auto" w:val="clear"/>
                <w:lang w:val="en-US"/>
              </w:rPr>
              <w:t>Vashkevich Maksim Iosifovich</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ectPr>
      <w:headerReference w:type="default" r:id="rId12"/>
      <w:type w:val="nextPage"/>
      <w:pgSz w:w="11906" w:h="16838"/>
      <w:pgMar w:left="1440" w:right="1423" w:gutter="0" w:header="709" w:top="1418" w:footer="0" w:bottom="1418"/>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000000"/>
      </w:pBdr>
      <w:tabs>
        <w:tab w:val="left" w:pos="709" w:leader="none"/>
        <w:tab w:val="left" w:pos="3828" w:leader="none"/>
        <w:tab w:val="left" w:pos="7655" w:leader="none"/>
      </w:tabs>
      <w:jc w:val="both"/>
      <w:rPr>
        <w:rFonts w:eastAsia="Times New Roman"/>
        <w:i/>
        <w:i/>
        <w:smallCaps/>
        <w:sz w:val="18"/>
        <w:lang w:eastAsia="ru-RU"/>
      </w:rPr>
    </w:pPr>
    <w:r>
      <w:rPr>
        <w:rFonts w:eastAsia="Times New Roman"/>
        <w:i/>
        <w:smallCaps/>
        <w:sz w:val="18"/>
        <w:lang w:eastAsia="ru-RU"/>
      </w:rPr>
      <w:t>Доклады БГУИР</w:t>
      <w:tab/>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tab/>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089" w:hanging="360"/>
      </w:pPr>
      <w:rPr/>
    </w:lvl>
    <w:lvl w:ilvl="1">
      <w:start w:val="1"/>
      <w:numFmt w:val="lowerLetter"/>
      <w:lvlText w:val="%2."/>
      <w:lvlJc w:val="left"/>
      <w:pPr>
        <w:tabs>
          <w:tab w:val="num" w:pos="0"/>
        </w:tabs>
        <w:ind w:left="1809" w:hanging="360"/>
      </w:pPr>
      <w:rPr/>
    </w:lvl>
    <w:lvl w:ilvl="2">
      <w:start w:val="1"/>
      <w:numFmt w:val="lowerRoman"/>
      <w:lvlText w:val="%3."/>
      <w:lvlJc w:val="right"/>
      <w:pPr>
        <w:tabs>
          <w:tab w:val="num" w:pos="0"/>
        </w:tabs>
        <w:ind w:left="2529" w:hanging="180"/>
      </w:pPr>
      <w:rPr/>
    </w:lvl>
    <w:lvl w:ilvl="3">
      <w:start w:val="1"/>
      <w:numFmt w:val="decimal"/>
      <w:lvlText w:val="%4."/>
      <w:lvlJc w:val="left"/>
      <w:pPr>
        <w:tabs>
          <w:tab w:val="num" w:pos="0"/>
        </w:tabs>
        <w:ind w:left="3249" w:hanging="360"/>
      </w:pPr>
      <w:rPr/>
    </w:lvl>
    <w:lvl w:ilvl="4">
      <w:start w:val="1"/>
      <w:numFmt w:val="lowerLetter"/>
      <w:lvlText w:val="%5."/>
      <w:lvlJc w:val="left"/>
      <w:pPr>
        <w:tabs>
          <w:tab w:val="num" w:pos="0"/>
        </w:tabs>
        <w:ind w:left="3969" w:hanging="360"/>
      </w:pPr>
      <w:rPr/>
    </w:lvl>
    <w:lvl w:ilvl="5">
      <w:start w:val="1"/>
      <w:numFmt w:val="lowerRoman"/>
      <w:lvlText w:val="%6."/>
      <w:lvlJc w:val="right"/>
      <w:pPr>
        <w:tabs>
          <w:tab w:val="num" w:pos="0"/>
        </w:tabs>
        <w:ind w:left="4689" w:hanging="180"/>
      </w:pPr>
      <w:rPr/>
    </w:lvl>
    <w:lvl w:ilvl="6">
      <w:start w:val="1"/>
      <w:numFmt w:val="decimal"/>
      <w:lvlText w:val="%7."/>
      <w:lvlJc w:val="left"/>
      <w:pPr>
        <w:tabs>
          <w:tab w:val="num" w:pos="0"/>
        </w:tabs>
        <w:ind w:left="5409" w:hanging="360"/>
      </w:pPr>
      <w:rPr/>
    </w:lvl>
    <w:lvl w:ilvl="7">
      <w:start w:val="1"/>
      <w:numFmt w:val="lowerLetter"/>
      <w:lvlText w:val="%8."/>
      <w:lvlJc w:val="left"/>
      <w:pPr>
        <w:tabs>
          <w:tab w:val="num" w:pos="0"/>
        </w:tabs>
        <w:ind w:left="6129" w:hanging="360"/>
      </w:pPr>
      <w:rPr/>
    </w:lvl>
    <w:lvl w:ilvl="8">
      <w:start w:val="1"/>
      <w:numFmt w:val="lowerRoman"/>
      <w:lvlText w:val="%9."/>
      <w:lvlJc w:val="right"/>
      <w:pPr>
        <w:tabs>
          <w:tab w:val="num" w:pos="0"/>
        </w:tabs>
        <w:ind w:left="6849" w:hanging="180"/>
      </w:pPr>
      <w:rPr/>
    </w:lvl>
  </w:abstractNum>
  <w:num w:numId="1">
    <w:abstractNumId w:val="1"/>
  </w:num>
  <w:num w:numId="2">
    <w:abstractNumId w:val="2"/>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3df"/>
    <w:pPr>
      <w:widowControl/>
      <w:suppressAutoHyphens w:val="true"/>
      <w:bidi w:val="0"/>
      <w:spacing w:before="0" w:after="0"/>
      <w:jc w:val="left"/>
    </w:pPr>
    <w:rPr>
      <w:rFonts w:ascii="Times New Roman" w:hAnsi="Times New Roman" w:eastAsia="Calibri" w:cs="Times New Roman"/>
      <w:color w:val="auto"/>
      <w:kern w:val="0"/>
      <w:sz w:val="20"/>
      <w:szCs w:val="20"/>
      <w:lang w:val="be-BY" w:eastAsia="en-US" w:bidi="ar-SA"/>
    </w:rPr>
  </w:style>
  <w:style w:type="paragraph" w:styleId="Heading1">
    <w:name w:val="Heading 1"/>
    <w:basedOn w:val="Normal"/>
    <w:next w:val="Normal"/>
    <w:link w:val="1"/>
    <w:qFormat/>
    <w:rsid w:val="00b92269"/>
    <w:pPr>
      <w:keepNext w:val="true"/>
      <w:keepLines/>
      <w:pageBreakBefore/>
      <w:numPr>
        <w:ilvl w:val="0"/>
        <w:numId w:val="1"/>
      </w:numPr>
      <w:shd w:val="clear" w:color="auto" w:fill="E2EFD9" w:themeFill="accent6" w:themeFillTint="33"/>
      <w:spacing w:lineRule="auto" w:line="259" w:before="240" w:after="0"/>
      <w:ind w:hanging="431" w:left="431"/>
      <w:jc w:val="both"/>
      <w:outlineLvl w:val="0"/>
    </w:pPr>
    <w:rPr>
      <w:rFonts w:eastAsia="" w:cs="" w:cstheme="majorBidi" w:eastAsiaTheme="majorEastAsia"/>
      <w:b/>
      <w:color w:themeColor="text1" w:val="000000"/>
      <w:sz w:val="32"/>
      <w:szCs w:val="32"/>
      <w:lang w:val="ru-RU"/>
    </w:rPr>
  </w:style>
  <w:style w:type="paragraph" w:styleId="Heading2">
    <w:name w:val="Heading 2"/>
    <w:basedOn w:val="Normal"/>
    <w:next w:val="Normal"/>
    <w:link w:val="2"/>
    <w:unhideWhenUsed/>
    <w:qFormat/>
    <w:rsid w:val="00b92269"/>
    <w:pPr>
      <w:keepNext w:val="true"/>
      <w:keepLines/>
      <w:numPr>
        <w:ilvl w:val="1"/>
        <w:numId w:val="1"/>
      </w:numPr>
      <w:shd w:val="clear" w:color="auto" w:fill="BDD6EE" w:themeFill="accent1" w:themeFillTint="66"/>
      <w:spacing w:lineRule="auto" w:line="259" w:before="120" w:after="120"/>
      <w:jc w:val="both"/>
      <w:outlineLvl w:val="1"/>
    </w:pPr>
    <w:rPr>
      <w:rFonts w:ascii="Tahoma" w:hAnsi="Tahoma" w:eastAsia="" w:cs="" w:cstheme="majorBidi" w:eastAsiaTheme="majorEastAsia"/>
      <w:b/>
      <w:color w:themeColor="text1" w:val="000000"/>
      <w:sz w:val="24"/>
      <w:szCs w:val="26"/>
      <w:lang w:val="ru-RU"/>
    </w:rPr>
  </w:style>
  <w:style w:type="paragraph" w:styleId="Heading3">
    <w:name w:val="Heading 3"/>
    <w:basedOn w:val="Normal"/>
    <w:next w:val="Normal"/>
    <w:link w:val="3"/>
    <w:unhideWhenUsed/>
    <w:qFormat/>
    <w:rsid w:val="00b92269"/>
    <w:pPr>
      <w:keepNext w:val="true"/>
      <w:keepLines/>
      <w:numPr>
        <w:ilvl w:val="2"/>
        <w:numId w:val="1"/>
      </w:numPr>
      <w:spacing w:lineRule="auto" w:line="259" w:before="80" w:after="40"/>
      <w:jc w:val="both"/>
      <w:outlineLvl w:val="2"/>
    </w:pPr>
    <w:rPr>
      <w:rFonts w:ascii="Calibri Light" w:hAnsi="Calibri Light" w:eastAsia="" w:cs="" w:asciiTheme="majorHAnsi" w:cstheme="majorBidi" w:eastAsiaTheme="majorEastAsia" w:hAnsiTheme="majorHAnsi"/>
      <w:b/>
      <w:i/>
      <w:color w:themeColor="accent1" w:themeShade="7f" w:val="1F4D78"/>
      <w:sz w:val="26"/>
      <w:szCs w:val="24"/>
      <w:lang w:val="ru-RU"/>
    </w:rPr>
  </w:style>
  <w:style w:type="paragraph" w:styleId="Heading5">
    <w:name w:val="Heading 5"/>
    <w:basedOn w:val="Normal"/>
    <w:next w:val="Normal"/>
    <w:link w:val="5"/>
    <w:unhideWhenUsed/>
    <w:qFormat/>
    <w:rsid w:val="00b92269"/>
    <w:pPr>
      <w:keepNext w:val="true"/>
      <w:keepLines/>
      <w:numPr>
        <w:ilvl w:val="4"/>
        <w:numId w:val="1"/>
      </w:numPr>
      <w:spacing w:lineRule="auto" w:line="259" w:before="40" w:after="0"/>
      <w:jc w:val="both"/>
      <w:outlineLvl w:val="4"/>
    </w:pPr>
    <w:rPr>
      <w:rFonts w:ascii="Calibri Light" w:hAnsi="Calibri Light" w:eastAsia="" w:cs="" w:asciiTheme="majorHAnsi" w:cstheme="majorBidi" w:eastAsiaTheme="majorEastAsia" w:hAnsiTheme="majorHAnsi"/>
      <w:color w:themeColor="accent1" w:themeShade="bf" w:val="2E74B5"/>
      <w:sz w:val="28"/>
      <w:szCs w:val="22"/>
      <w:lang w:val="ru-RU"/>
    </w:rPr>
  </w:style>
  <w:style w:type="paragraph" w:styleId="Heading6">
    <w:name w:val="Heading 6"/>
    <w:basedOn w:val="Normal"/>
    <w:next w:val="Normal"/>
    <w:link w:val="6"/>
    <w:unhideWhenUsed/>
    <w:qFormat/>
    <w:rsid w:val="00b92269"/>
    <w:pPr>
      <w:keepNext w:val="true"/>
      <w:keepLines/>
      <w:numPr>
        <w:ilvl w:val="5"/>
        <w:numId w:val="1"/>
      </w:numPr>
      <w:spacing w:lineRule="auto" w:line="259" w:before="40" w:after="0"/>
      <w:jc w:val="both"/>
      <w:outlineLvl w:val="5"/>
    </w:pPr>
    <w:rPr>
      <w:rFonts w:ascii="Calibri Light" w:hAnsi="Calibri Light" w:eastAsia="" w:cs="" w:asciiTheme="majorHAnsi" w:cstheme="majorBidi" w:eastAsiaTheme="majorEastAsia" w:hAnsiTheme="majorHAnsi"/>
      <w:color w:themeColor="accent1" w:themeShade="7f" w:val="1F4D78"/>
      <w:sz w:val="28"/>
      <w:szCs w:val="22"/>
      <w:lang w:val="ru-RU"/>
    </w:rPr>
  </w:style>
  <w:style w:type="paragraph" w:styleId="Heading7">
    <w:name w:val="Heading 7"/>
    <w:basedOn w:val="Normal"/>
    <w:next w:val="Normal"/>
    <w:link w:val="7"/>
    <w:unhideWhenUsed/>
    <w:qFormat/>
    <w:rsid w:val="00b92269"/>
    <w:pPr>
      <w:keepNext w:val="true"/>
      <w:keepLines/>
      <w:numPr>
        <w:ilvl w:val="6"/>
        <w:numId w:val="1"/>
      </w:numPr>
      <w:spacing w:lineRule="auto" w:line="259" w:before="40" w:after="0"/>
      <w:jc w:val="both"/>
      <w:outlineLvl w:val="6"/>
    </w:pPr>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paragraph" w:styleId="Heading8">
    <w:name w:val="Heading 8"/>
    <w:basedOn w:val="Normal"/>
    <w:next w:val="Normal"/>
    <w:link w:val="8"/>
    <w:unhideWhenUsed/>
    <w:qFormat/>
    <w:rsid w:val="00b92269"/>
    <w:pPr>
      <w:keepNext w:val="true"/>
      <w:keepLines/>
      <w:numPr>
        <w:ilvl w:val="7"/>
        <w:numId w:val="1"/>
      </w:numPr>
      <w:spacing w:lineRule="auto" w:line="259" w:before="40" w:after="0"/>
      <w:jc w:val="both"/>
      <w:outlineLvl w:val="7"/>
    </w:pPr>
    <w:rPr>
      <w:rFonts w:ascii="Calibri Light" w:hAnsi="Calibri Light" w:eastAsia="" w:cs="" w:asciiTheme="majorHAnsi" w:cstheme="majorBidi" w:eastAsiaTheme="majorEastAsia" w:hAnsiTheme="majorHAnsi"/>
      <w:color w:themeColor="text1" w:themeTint="d8" w:val="272727"/>
      <w:sz w:val="21"/>
      <w:szCs w:val="21"/>
      <w:lang w:val="ru-RU"/>
    </w:rPr>
  </w:style>
  <w:style w:type="paragraph" w:styleId="Heading9">
    <w:name w:val="Heading 9"/>
    <w:basedOn w:val="Normal"/>
    <w:next w:val="Normal"/>
    <w:link w:val="9"/>
    <w:unhideWhenUsed/>
    <w:qFormat/>
    <w:rsid w:val="00b92269"/>
    <w:pPr>
      <w:keepNext w:val="true"/>
      <w:keepLines/>
      <w:numPr>
        <w:ilvl w:val="8"/>
        <w:numId w:val="1"/>
      </w:numPr>
      <w:spacing w:lineRule="auto" w:line="259" w:before="40" w:after="0"/>
      <w:jc w:val="both"/>
      <w:outlineLvl w:val="8"/>
    </w:pPr>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DefaultParagraphFont" w:default="1">
    <w:name w:val="Default Paragraph Font"/>
    <w:uiPriority w:val="1"/>
    <w:semiHidden/>
    <w:unhideWhenUsed/>
    <w:qFormat/>
    <w:rPr/>
  </w:style>
  <w:style w:type="character" w:styleId="Style6" w:customStyle="1">
    <w:name w:val="Текст выноски Знак"/>
    <w:link w:val="BalloonText"/>
    <w:uiPriority w:val="99"/>
    <w:semiHidden/>
    <w:qFormat/>
    <w:rsid w:val="004d03df"/>
    <w:rPr>
      <w:rFonts w:ascii="Tahoma" w:hAnsi="Tahoma" w:eastAsia="Calibri" w:cs="Tahoma"/>
      <w:sz w:val="16"/>
      <w:szCs w:val="16"/>
      <w:lang w:val="be-BY"/>
    </w:rPr>
  </w:style>
  <w:style w:type="character" w:styleId="Style7" w:customStyle="1">
    <w:name w:val="Верхний колонтитул Знак"/>
    <w:link w:val="Header"/>
    <w:uiPriority w:val="99"/>
    <w:qFormat/>
    <w:rsid w:val="008a6551"/>
    <w:rPr>
      <w:rFonts w:ascii="Times New Roman" w:hAnsi="Times New Roman"/>
      <w:lang w:val="be-BY" w:eastAsia="en-US"/>
    </w:rPr>
  </w:style>
  <w:style w:type="character" w:styleId="Style8" w:customStyle="1">
    <w:name w:val="Нижний колонтитул Знак"/>
    <w:link w:val="Footer"/>
    <w:uiPriority w:val="99"/>
    <w:qFormat/>
    <w:rsid w:val="008a6551"/>
    <w:rPr>
      <w:rFonts w:ascii="Times New Roman" w:hAnsi="Times New Roman"/>
      <w:lang w:val="be-BY" w:eastAsia="en-US"/>
    </w:rPr>
  </w:style>
  <w:style w:type="character" w:styleId="Hyperlink">
    <w:name w:val="Hyperlink"/>
    <w:uiPriority w:val="99"/>
    <w:unhideWhenUsed/>
    <w:rsid w:val="008a6551"/>
    <w:rPr>
      <w:color w:val="0563C1"/>
      <w:u w:val="single"/>
    </w:rPr>
  </w:style>
  <w:style w:type="character" w:styleId="PlaceholderText">
    <w:name w:val="Placeholder Text"/>
    <w:basedOn w:val="DefaultParagraphFont"/>
    <w:uiPriority w:val="99"/>
    <w:semiHidden/>
    <w:qFormat/>
    <w:rsid w:val="00446413"/>
    <w:rPr>
      <w:color w:val="808080"/>
    </w:rPr>
  </w:style>
  <w:style w:type="character" w:styleId="Style9" w:customStyle="1">
    <w:name w:val="ОСновной Знак"/>
    <w:basedOn w:val="DefaultParagraphFont"/>
    <w:link w:val="Style11"/>
    <w:qFormat/>
    <w:rsid w:val="007a3855"/>
    <w:rPr>
      <w:rFonts w:ascii="Times New Roman" w:hAnsi="Times New Roman" w:eastAsia="Times New Roman"/>
      <w:sz w:val="22"/>
      <w:szCs w:val="22"/>
      <w:shd w:fill="FFFFFF" w:val="clear"/>
      <w:lang w:val="ru-RU"/>
    </w:rPr>
  </w:style>
  <w:style w:type="character" w:styleId="1" w:customStyle="1">
    <w:name w:val="Заголовок 1 Знак"/>
    <w:basedOn w:val="DefaultParagraphFont"/>
    <w:link w:val="Heading1"/>
    <w:qFormat/>
    <w:rsid w:val="00b92269"/>
    <w:rPr>
      <w:rFonts w:ascii="Times New Roman" w:hAnsi="Times New Roman" w:eastAsia="" w:cs="" w:cstheme="majorBidi" w:eastAsiaTheme="majorEastAsia"/>
      <w:b/>
      <w:color w:themeColor="text1" w:val="000000"/>
      <w:sz w:val="32"/>
      <w:szCs w:val="32"/>
      <w:shd w:fill="E2EFD9" w:val="clear"/>
      <w:lang w:val="ru-RU"/>
    </w:rPr>
  </w:style>
  <w:style w:type="character" w:styleId="2" w:customStyle="1">
    <w:name w:val="Заголовок 2 Знак"/>
    <w:basedOn w:val="DefaultParagraphFont"/>
    <w:link w:val="Heading2"/>
    <w:qFormat/>
    <w:rsid w:val="00b92269"/>
    <w:rPr>
      <w:rFonts w:ascii="Tahoma" w:hAnsi="Tahoma" w:eastAsia="" w:cs="" w:cstheme="majorBidi" w:eastAsiaTheme="majorEastAsia"/>
      <w:b/>
      <w:color w:themeColor="text1" w:val="000000"/>
      <w:sz w:val="24"/>
      <w:szCs w:val="26"/>
      <w:shd w:fill="BDD6EE" w:val="clear"/>
      <w:lang w:val="ru-RU"/>
    </w:rPr>
  </w:style>
  <w:style w:type="character" w:styleId="3" w:customStyle="1">
    <w:name w:val="Заголовок 3 Знак"/>
    <w:basedOn w:val="DefaultParagraphFont"/>
    <w:link w:val="Heading3"/>
    <w:qFormat/>
    <w:rsid w:val="00b92269"/>
    <w:rPr>
      <w:rFonts w:ascii="Calibri Light" w:hAnsi="Calibri Light" w:eastAsia="" w:cs="" w:asciiTheme="majorHAnsi" w:cstheme="majorBidi" w:eastAsiaTheme="majorEastAsia" w:hAnsiTheme="majorHAnsi"/>
      <w:b/>
      <w:i/>
      <w:color w:themeColor="accent1" w:themeShade="7f" w:val="1F4D78"/>
      <w:sz w:val="26"/>
      <w:szCs w:val="24"/>
      <w:lang w:val="ru-RU"/>
    </w:rPr>
  </w:style>
  <w:style w:type="character" w:styleId="5" w:customStyle="1">
    <w:name w:val="Заголовок 5 Знак"/>
    <w:basedOn w:val="DefaultParagraphFont"/>
    <w:link w:val="Heading5"/>
    <w:qFormat/>
    <w:rsid w:val="00b92269"/>
    <w:rPr>
      <w:rFonts w:ascii="Calibri Light" w:hAnsi="Calibri Light" w:eastAsia="" w:cs="" w:asciiTheme="majorHAnsi" w:cstheme="majorBidi" w:eastAsiaTheme="majorEastAsia" w:hAnsiTheme="majorHAnsi"/>
      <w:color w:themeColor="accent1" w:themeShade="bf" w:val="2E74B5"/>
      <w:sz w:val="28"/>
      <w:szCs w:val="22"/>
      <w:lang w:val="ru-RU"/>
    </w:rPr>
  </w:style>
  <w:style w:type="character" w:styleId="6" w:customStyle="1">
    <w:name w:val="Заголовок 6 Знак"/>
    <w:basedOn w:val="DefaultParagraphFont"/>
    <w:link w:val="Heading6"/>
    <w:qFormat/>
    <w:rsid w:val="00b92269"/>
    <w:rPr>
      <w:rFonts w:ascii="Calibri Light" w:hAnsi="Calibri Light" w:eastAsia="" w:cs="" w:asciiTheme="majorHAnsi" w:cstheme="majorBidi" w:eastAsiaTheme="majorEastAsia" w:hAnsiTheme="majorHAnsi"/>
      <w:color w:themeColor="accent1" w:themeShade="7f" w:val="1F4D78"/>
      <w:sz w:val="28"/>
      <w:szCs w:val="22"/>
      <w:lang w:val="ru-RU"/>
    </w:rPr>
  </w:style>
  <w:style w:type="character" w:styleId="7" w:customStyle="1">
    <w:name w:val="Заголовок 7 Знак"/>
    <w:basedOn w:val="DefaultParagraphFont"/>
    <w:link w:val="Heading7"/>
    <w:qFormat/>
    <w:rsid w:val="00b92269"/>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character" w:styleId="8" w:customStyle="1">
    <w:name w:val="Заголовок 8 Знак"/>
    <w:basedOn w:val="DefaultParagraphFont"/>
    <w:link w:val="Heading8"/>
    <w:qFormat/>
    <w:rsid w:val="00b92269"/>
    <w:rPr>
      <w:rFonts w:ascii="Calibri Light" w:hAnsi="Calibri Light" w:eastAsia="" w:cs="" w:asciiTheme="majorHAnsi" w:cstheme="majorBidi" w:eastAsiaTheme="majorEastAsia" w:hAnsiTheme="majorHAnsi"/>
      <w:color w:themeColor="text1" w:themeTint="d8" w:val="272727"/>
      <w:sz w:val="21"/>
      <w:szCs w:val="21"/>
      <w:lang w:val="ru-RU"/>
    </w:rPr>
  </w:style>
  <w:style w:type="character" w:styleId="9" w:customStyle="1">
    <w:name w:val="Заголовок 9 Знак"/>
    <w:basedOn w:val="DefaultParagraphFont"/>
    <w:link w:val="Heading9"/>
    <w:qFormat/>
    <w:rsid w:val="00b92269"/>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Style10" w:customStyle="1">
    <w:name w:val="Текст сноски Знак"/>
    <w:basedOn w:val="DefaultParagraphFont"/>
    <w:link w:val="FootnoteText"/>
    <w:uiPriority w:val="99"/>
    <w:qFormat/>
    <w:rsid w:val="00b92269"/>
    <w:rPr>
      <w:rFonts w:ascii="Times New Roman" w:hAnsi="Times New Roman" w:eastAsia="Calibri" w:cs="" w:cstheme="minorBidi" w:eastAsiaTheme="minorHAnsi"/>
      <w:lang w:val="ru-RU"/>
    </w:rPr>
  </w:style>
  <w:style w:type="character" w:styleId="FootnoteCharacters" w:customStyle="1">
    <w:name w:val="Footnote Characters"/>
    <w:uiPriority w:val="99"/>
    <w:semiHidden/>
    <w:unhideWhenUsed/>
    <w:qFormat/>
    <w:rsid w:val="00b92269"/>
    <w:rPr>
      <w:vertAlign w:val="superscript"/>
    </w:rPr>
  </w:style>
  <w:style w:type="character" w:styleId="FootnoteReference">
    <w:name w:val="Footnote Reference"/>
    <w:rPr>
      <w:vertAlign w:val="superscript"/>
    </w:rPr>
  </w:style>
  <w:style w:type="character" w:styleId="Emphasis">
    <w:name w:val="Emphasis"/>
    <w:basedOn w:val="DefaultParagraphFont"/>
    <w:uiPriority w:val="20"/>
    <w:qFormat/>
    <w:rsid w:val="00b92269"/>
    <w:rPr>
      <w:i/>
      <w:iCs/>
    </w:rPr>
  </w:style>
  <w:style w:type="character" w:styleId="Jlqj4b" w:customStyle="1">
    <w:name w:val="jlqj4b"/>
    <w:basedOn w:val="DefaultParagraphFont"/>
    <w:qFormat/>
    <w:rsid w:val="00fb0d6d"/>
    <w:rPr/>
  </w:style>
  <w:style w:type="character" w:styleId="NumberingSymbols" w:customStyle="1">
    <w:name w:val="Numbering Symbols"/>
    <w:qFormat/>
    <w:rPr/>
  </w:style>
  <w:style w:type="character" w:styleId="Strong">
    <w:name w:val="Strong"/>
    <w:basedOn w:val="DefaultParagraphFont"/>
    <w:uiPriority w:val="22"/>
    <w:qFormat/>
    <w:rsid w:val="00301379"/>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next w:val="Normal"/>
    <w:uiPriority w:val="35"/>
    <w:semiHidden/>
    <w:unhideWhenUsed/>
    <w:qFormat/>
    <w:rsid w:val="006c722a"/>
    <w:pPr>
      <w:spacing w:before="0" w:after="200"/>
    </w:pPr>
    <w:rPr>
      <w:i/>
      <w:iCs/>
      <w:color w:themeColor="text2" w:val="44546A"/>
      <w:sz w:val="18"/>
      <w:szCs w:val="18"/>
    </w:rPr>
  </w:style>
  <w:style w:type="paragraph" w:styleId="BalloonText">
    <w:name w:val="Balloon Text"/>
    <w:basedOn w:val="Normal"/>
    <w:link w:val="Style6"/>
    <w:uiPriority w:val="99"/>
    <w:semiHidden/>
    <w:unhideWhenUsed/>
    <w:qFormat/>
    <w:rsid w:val="004d03df"/>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Style7"/>
    <w:uiPriority w:val="99"/>
    <w:unhideWhenUsed/>
    <w:rsid w:val="008a6551"/>
    <w:pPr>
      <w:tabs>
        <w:tab w:val="clear" w:pos="709"/>
        <w:tab w:val="center" w:pos="4677" w:leader="none"/>
        <w:tab w:val="right" w:pos="9355" w:leader="none"/>
      </w:tabs>
    </w:pPr>
    <w:rPr/>
  </w:style>
  <w:style w:type="paragraph" w:styleId="Footer">
    <w:name w:val="Footer"/>
    <w:basedOn w:val="Normal"/>
    <w:link w:val="Style8"/>
    <w:uiPriority w:val="99"/>
    <w:unhideWhenUsed/>
    <w:rsid w:val="008a6551"/>
    <w:pPr>
      <w:tabs>
        <w:tab w:val="clear" w:pos="709"/>
        <w:tab w:val="center" w:pos="4677" w:leader="none"/>
        <w:tab w:val="right" w:pos="9355" w:leader="none"/>
      </w:tabs>
    </w:pPr>
    <w:rPr/>
  </w:style>
  <w:style w:type="paragraph" w:styleId="37" w:customStyle="1">
    <w:name w:val="Знак Знак37"/>
    <w:basedOn w:val="Normal"/>
    <w:autoRedefine/>
    <w:qFormat/>
    <w:rsid w:val="00803a43"/>
    <w:pPr/>
    <w:rPr>
      <w:rFonts w:ascii="Arial" w:hAnsi="Arial" w:eastAsia="Times New Roman" w:cs="Arial"/>
      <w:lang w:val="en-ZA" w:eastAsia="en-ZA"/>
    </w:rPr>
  </w:style>
  <w:style w:type="paragraph" w:styleId="Style11" w:customStyle="1">
    <w:name w:val="ОСновной"/>
    <w:basedOn w:val="Normal"/>
    <w:link w:val="Style9"/>
    <w:qFormat/>
    <w:rsid w:val="007a3855"/>
    <w:pPr>
      <w:shd w:val="clear" w:color="auto" w:fill="FFFFFF"/>
      <w:ind w:firstLine="709"/>
      <w:jc w:val="both"/>
    </w:pPr>
    <w:rPr>
      <w:rFonts w:eastAsia="Times New Roman"/>
      <w:sz w:val="22"/>
      <w:szCs w:val="22"/>
      <w:lang w:val="ru-RU"/>
    </w:rPr>
  </w:style>
  <w:style w:type="paragraph" w:styleId="Default" w:customStyle="1">
    <w:name w:val="Default"/>
    <w:qFormat/>
    <w:rsid w:val="003e4a92"/>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ootnoteText">
    <w:name w:val="Footnote Text"/>
    <w:basedOn w:val="Normal"/>
    <w:link w:val="Style10"/>
    <w:uiPriority w:val="99"/>
    <w:unhideWhenUsed/>
    <w:rsid w:val="00b92269"/>
    <w:pPr>
      <w:ind w:firstLine="709"/>
      <w:jc w:val="both"/>
    </w:pPr>
    <w:rPr>
      <w:rFonts w:eastAsia="Calibri" w:cs="" w:cstheme="minorBidi" w:eastAsiaTheme="minorHAnsi"/>
      <w:lang w:val="ru-RU"/>
    </w:rPr>
  </w:style>
  <w:style w:type="paragraph" w:styleId="Style12" w:customStyle="1">
    <w:name w:val="Рисунок"/>
    <w:basedOn w:val="Normal"/>
    <w:next w:val="Normal"/>
    <w:qFormat/>
    <w:rsid w:val="00b92269"/>
    <w:pPr>
      <w:spacing w:lineRule="auto" w:line="259" w:before="60" w:after="60"/>
      <w:jc w:val="center"/>
    </w:pPr>
    <w:rPr>
      <w:rFonts w:eastAsia="Calibri" w:cs="" w:cstheme="minorBidi" w:eastAsiaTheme="minorHAnsi"/>
      <w:sz w:val="22"/>
      <w:szCs w:val="22"/>
      <w:lang w:val="ru-RU"/>
    </w:rPr>
  </w:style>
  <w:style w:type="paragraph" w:styleId="Style13" w:customStyle="1">
    <w:name w:val="Формула"/>
    <w:basedOn w:val="Normal"/>
    <w:next w:val="Normal"/>
    <w:qFormat/>
    <w:rsid w:val="00b92269"/>
    <w:pPr>
      <w:spacing w:lineRule="auto" w:line="259" w:before="120" w:after="120"/>
      <w:jc w:val="center"/>
    </w:pPr>
    <w:rPr>
      <w:rFonts w:eastAsia="" w:cs="" w:cstheme="minorBidi" w:eastAsiaTheme="minorEastAsia"/>
      <w:sz w:val="22"/>
      <w:szCs w:val="22"/>
      <w:lang w:val="ru-RU"/>
    </w:rPr>
  </w:style>
  <w:style w:type="paragraph" w:styleId="Style14" w:customStyle="1">
    <w:name w:val="Обычный_без_отступа"/>
    <w:basedOn w:val="Normal"/>
    <w:next w:val="Normal"/>
    <w:qFormat/>
    <w:rsid w:val="00b92269"/>
    <w:pPr>
      <w:spacing w:lineRule="auto" w:line="259"/>
      <w:jc w:val="both"/>
    </w:pPr>
    <w:rPr>
      <w:rFonts w:eastAsia="Calibri" w:cs="" w:cstheme="minorBidi" w:eastAsiaTheme="minorHAnsi"/>
      <w:sz w:val="22"/>
      <w:szCs w:val="22"/>
      <w:lang w:val="ru-RU"/>
    </w:rPr>
  </w:style>
  <w:style w:type="paragraph" w:styleId="Style15" w:customStyle="1">
    <w:name w:val="Формула номер"/>
    <w:qFormat/>
    <w:rsid w:val="00b92269"/>
    <w:pPr>
      <w:widowControl/>
      <w:suppressAutoHyphens w:val="true"/>
      <w:bidi w:val="0"/>
      <w:spacing w:lineRule="auto" w:line="288" w:before="120" w:after="120"/>
      <w:jc w:val="right"/>
    </w:pPr>
    <w:rPr>
      <w:rFonts w:ascii="Times New Roman" w:hAnsi="Times New Roman" w:eastAsia="" w:cs="" w:cstheme="minorBidi" w:eastAsiaTheme="minorEastAsia"/>
      <w:color w:val="auto"/>
      <w:kern w:val="0"/>
      <w:sz w:val="22"/>
      <w:szCs w:val="22"/>
      <w:lang w:val="ru-RU" w:eastAsia="en-US" w:bidi="ar-SA"/>
    </w:rPr>
  </w:style>
  <w:style w:type="paragraph" w:styleId="ListParagraph">
    <w:name w:val="List Paragraph"/>
    <w:basedOn w:val="Normal"/>
    <w:uiPriority w:val="34"/>
    <w:qFormat/>
    <w:rsid w:val="004361af"/>
    <w:pPr>
      <w:spacing w:before="0" w:after="0"/>
      <w:ind w:left="720"/>
      <w:contextualSpacing/>
    </w:pPr>
    <w:rPr/>
  </w:style>
  <w:style w:type="paragraph" w:styleId="Inf" w:customStyle="1">
    <w:name w:val="Inf_Текст журнала"/>
    <w:qFormat/>
    <w:rsid w:val="0004384d"/>
    <w:pPr>
      <w:widowControl/>
      <w:suppressAutoHyphens w:val="true"/>
      <w:bidi w:val="0"/>
      <w:spacing w:before="0" w:after="0"/>
      <w:ind w:firstLine="567"/>
      <w:jc w:val="both"/>
    </w:pPr>
    <w:rPr>
      <w:rFonts w:ascii="Times New Roman" w:hAnsi="Times New Roman" w:eastAsia="Times New Roman" w:cs="Times New Roman"/>
      <w:color w:val="auto"/>
      <w:kern w:val="0"/>
      <w:sz w:val="22"/>
      <w:szCs w:val="20"/>
      <w:lang w:val="ru-RU" w:eastAsia="en-US" w:bidi="ar-SA"/>
    </w:rPr>
  </w:style>
  <w:style w:type="paragraph" w:styleId="Tablecaption" w:customStyle="1">
    <w:name w:val="tablecaption"/>
    <w:basedOn w:val="Normal"/>
    <w:next w:val="Normal"/>
    <w:qFormat/>
    <w:rsid w:val="00e14e6f"/>
    <w:pPr>
      <w:keepNext w:val="true"/>
      <w:keepLines/>
      <w:spacing w:lineRule="atLeast" w:line="220" w:before="240" w:after="120"/>
      <w:jc w:val="center"/>
      <w:textAlignment w:val="baseline"/>
    </w:pPr>
    <w:rPr>
      <w:rFonts w:eastAsia="Times New Roman"/>
      <w:sz w:val="18"/>
      <w:lang w:val="en-US"/>
    </w:rPr>
  </w:style>
  <w:style w:type="paragraph" w:styleId="Style16" w:customStyle="1">
    <w:name w:val="Рабочий"/>
    <w:basedOn w:val="Normal"/>
    <w:qFormat/>
    <w:pPr>
      <w:spacing w:lineRule="exact" w:line="360" w:before="0" w:after="0"/>
      <w:ind w:firstLine="709" w:left="-397"/>
      <w:contextualSpacing/>
      <w:jc w:val="both"/>
    </w:pPr>
    <w:rPr>
      <w:rFonts w:eastAsia="Times New Roman"/>
      <w:sz w:val="28"/>
      <w:szCs w:val="28"/>
      <w:lang w:eastAsia="ru-RU"/>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a">
    <w:name w:val="Table Grid"/>
    <w:basedOn w:val="a1"/>
    <w:uiPriority w:val="59"/>
    <w:rsid w:val="0080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Сетка таблицы3"/>
    <w:basedOn w:val="a1"/>
    <w:uiPriority w:val="59"/>
    <w:rsid w:val="00b92269"/>
    <w:rPr>
      <w:rFonts w:asciiTheme="minorHAnsi" w:hAnsiTheme="minorHAnsi" w:eastAsiaTheme="minorHAnsi" w:cstheme="minorBidi"/>
      <w:lang w:val="ru-RU"/>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Application>LibreOffice/7.6.2.1$Linux_X86_64 LibreOffice_project/60$Build-1</Application>
  <AppVersion>15.0000</AppVersion>
  <Pages>12</Pages>
  <Words>3890</Words>
  <Characters>25996</Characters>
  <CharactersWithSpaces>29712</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2023-11-27T08:18:00Z</dcterms:created>
  <dc:creator>Денис</dc:creator>
  <dc:description/>
  <dc:language>en-US</dc:language>
  <cp:lastModifiedBy/>
  <cp:lastPrinted>2021-12-14T14:53:00Z</cp:lastPrinted>
  <dcterms:modified xsi:type="dcterms:W3CDTF">2023-11-30T22:51:51Z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