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media/image2.png" ContentType="image/png"/>
  <Override PartName="/word/media/image3.wmf" ContentType="image/x-wmf"/>
  <Override PartName="/word/media/image5.jpeg" ContentType="image/jpeg"/>
  <Override PartName="/word/media/image4.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tabs>
          <w:tab w:val="left" w:pos="709" w:leader="none"/>
        </w:tabs>
        <w:spacing w:before="240" w:after="0"/>
        <w:rPr>
          <w:rFonts w:eastAsia="Times New Roman"/>
          <w:sz w:val="22"/>
          <w:lang w:eastAsia="ru-RU"/>
        </w:rPr>
      </w:pPr>
      <w:r>
        <mc:AlternateContent>
          <mc:Choice Requires="wps">
            <w:drawing>
              <wp:anchor behindDoc="0" distT="0" distB="0" distL="0" distR="0" simplePos="0" locked="0" layoutInCell="1" allowOverlap="1" relativeHeight="9" wp14:anchorId="5EC7E06C">
                <wp:simplePos x="0" y="0"/>
                <wp:positionH relativeFrom="column">
                  <wp:posOffset>0</wp:posOffset>
                </wp:positionH>
                <wp:positionV relativeFrom="paragraph">
                  <wp:posOffset>635</wp:posOffset>
                </wp:positionV>
                <wp:extent cx="635000" cy="635000"/>
                <wp:effectExtent l="0" t="0" r="0" b="0"/>
                <wp:wrapNone/>
                <wp:docPr id="1"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5EC7E06C">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10" wp14:anchorId="467C4721">
                <wp:simplePos x="0" y="0"/>
                <wp:positionH relativeFrom="column">
                  <wp:posOffset>0</wp:posOffset>
                </wp:positionH>
                <wp:positionV relativeFrom="paragraph">
                  <wp:posOffset>635</wp:posOffset>
                </wp:positionV>
                <wp:extent cx="635000" cy="635000"/>
                <wp:effectExtent l="0" t="0" r="0" b="0"/>
                <wp:wrapNone/>
                <wp:docPr id="2"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467C4721">
                <v:fill o:detectmouseclick="t" on="false"/>
                <v:stroke color="#3465a4" joinstyle="round" endcap="flat"/>
                <w10:wrap type="none"/>
              </v:rect>
            </w:pict>
          </mc:Fallback>
        </mc:AlternateContent>
        <mc:AlternateContent>
          <mc:Choice Requires="wps">
            <w:drawing>
              <wp:anchor behindDoc="0" distT="0" distB="3175" distL="0" distR="3175" simplePos="0" locked="0" layoutInCell="1" allowOverlap="1" relativeHeight="12" wp14:anchorId="6661DC92">
                <wp:simplePos x="0" y="0"/>
                <wp:positionH relativeFrom="column">
                  <wp:posOffset>0</wp:posOffset>
                </wp:positionH>
                <wp:positionV relativeFrom="paragraph">
                  <wp:posOffset>635</wp:posOffset>
                </wp:positionV>
                <wp:extent cx="635000" cy="635000"/>
                <wp:effectExtent l="0" t="0" r="0" b="0"/>
                <wp:wrapNone/>
                <wp:docPr id="3"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pt;width:49.95pt;height:49.95pt;mso-wrap-style:none;v-text-anchor:middle" wp14:anchorId="6661DC92">
                <v:fill o:detectmouseclick="t" on="false"/>
                <v:stroke color="#3465a4" joinstyle="round" endcap="flat"/>
                <w10:wrap type="none"/>
              </v:rect>
            </w:pict>
          </mc:Fallback>
        </mc:AlternateConten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2pt;height:14.5pt;mso-wrap-distance-right:0pt" filled="f" o:ole="">
            <v:imagedata r:id="rId3" o:title=""/>
          </v:shape>
          <o:OLEObject Type="Embed" ProgID="Equation.DSMT4" ShapeID="ole_rId2" DrawAspect="Content" ObjectID="_1252033765" r:id="rId2"/>
        </w:object>
      </w:r>
      <w:r>
        <w:rPr/>
        <w:drawing>
          <wp:inline distT="0" distB="0" distL="0" distR="0">
            <wp:extent cx="880110" cy="189865"/>
            <wp:effectExtent l="0" t="0" r="0" b="0"/>
            <wp:docPr id="4"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https://mirrors.creativecommons.org/presskit/buttons/80x15/png/by.png"/>
                    <pic:cNvPicPr>
                      <a:picLocks noChangeAspect="1" noChangeArrowheads="1"/>
                    </pic:cNvPicPr>
                  </pic:nvPicPr>
                  <pic:blipFill>
                    <a:blip r:embed="rId4"/>
                    <a:stretch>
                      <a:fillRect/>
                    </a:stretch>
                  </pic:blipFill>
                  <pic:spPr bwMode="auto">
                    <a:xfrm>
                      <a:off x="0" y="0"/>
                      <a:ext cx="880110" cy="189865"/>
                    </a:xfrm>
                    <a:prstGeom prst="rect">
                      <a:avLst/>
                    </a:prstGeom>
                  </pic:spPr>
                </pic:pic>
              </a:graphicData>
            </a:graphic>
          </wp:inline>
        </w:drawing>
      </w:r>
    </w:p>
    <w:p>
      <w:pPr>
        <w:pStyle w:val="Normal"/>
        <w:keepNext w:val="true"/>
        <w:keepLines/>
        <w:tabs>
          <w:tab w:val="left" w:pos="709" w:leader="none"/>
        </w:tabs>
        <w:spacing w:before="240" w:after="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pPr>
        <w:pStyle w:val="Normal"/>
        <w:keepNext w:val="true"/>
        <w:keepLines/>
        <w:tabs>
          <w:tab w:val="left" w:pos="709" w:leader="none"/>
        </w:tabs>
        <w:spacing w:before="240" w:after="0"/>
        <w:rPr>
          <w:rFonts w:eastAsia="Times New Roman"/>
          <w:i/>
          <w:i/>
          <w:sz w:val="22"/>
          <w:lang w:val="ru-RU" w:eastAsia="ru-RU"/>
        </w:rPr>
      </w:pPr>
      <w:r>
        <w:rPr>
          <w:rFonts w:eastAsia="Times New Roman"/>
          <w:i/>
          <w:sz w:val="22"/>
          <w:lang w:val="ru-RU" w:eastAsia="ru-RU"/>
        </w:rPr>
        <w:t>Оригинальная статья</w:t>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pPr>
        <w:pStyle w:val="Normal"/>
        <w:keepNext w:val="true"/>
        <w:keepLines/>
        <w:tabs>
          <w:tab w:val="left" w:pos="709" w:leader="none"/>
        </w:tabs>
        <w:spacing w:before="240" w:after="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pPr>
        <w:pStyle w:val="Normal"/>
        <w:keepNext w:val="true"/>
        <w:keepLines/>
        <w:numPr>
          <w:ilvl w:val="0"/>
          <w:numId w:val="0"/>
        </w:numPr>
        <w:tabs>
          <w:tab w:val="left" w:pos="709" w:leader="none"/>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НАДСЕГМЕТНЫХ АККУСТИЧЕСКИХ ПРИЗНАКОВ</w:t>
      </w:r>
    </w:p>
    <w:p>
      <w:pPr>
        <w:pStyle w:val="Normal"/>
        <w:keepNext w:val="true"/>
        <w:keepLines/>
        <w:tabs>
          <w:tab w:val="left" w:pos="709" w:leader="none"/>
        </w:tabs>
        <w:spacing w:before="240" w:after="0"/>
        <w:jc w:val="center"/>
        <w:rPr>
          <w:rFonts w:eastAsia="Times New Roman"/>
          <w:sz w:val="22"/>
          <w:lang w:val="ru-RU" w:eastAsia="ru-RU"/>
        </w:rPr>
      </w:pPr>
      <w:r>
        <w:rPr>
          <w:rFonts w:eastAsia="Times New Roman"/>
          <w:sz w:val="22"/>
          <w:lang w:val="ru-RU" w:eastAsia="ru-RU"/>
        </w:rPr>
        <w:t>ВАШКЕВИЧ М.И.</w:t>
      </w:r>
      <w:r>
        <w:rPr>
          <w:rFonts w:eastAsia="Times New Roman"/>
          <w:sz w:val="22"/>
          <w:lang w:val="ru-RU" w:eastAsia="ru-RU"/>
        </w:rPr>
        <w:t>,</w:t>
      </w:r>
      <w:r>
        <w:rPr>
          <w:rFonts w:eastAsia="Times New Roman"/>
          <w:sz w:val="22"/>
          <w:lang w:val="ru-RU" w:eastAsia="ru-RU"/>
        </w:rPr>
        <w:t xml:space="preserve"> КРАСНОПРОШИН Д.В.</w:t>
      </w:r>
    </w:p>
    <w:p>
      <w:pPr>
        <w:pStyle w:val="Normal"/>
        <w:keepNext w:val="true"/>
        <w:keepLines/>
        <w:tabs>
          <w:tab w:val="left" w:pos="709" w:leader="none"/>
        </w:tabs>
        <w:spacing w:before="240" w:after="40"/>
        <w:jc w:val="center"/>
        <w:rPr>
          <w:rFonts w:eastAsia="Times New Roman"/>
          <w:i/>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pPr>
        <w:pStyle w:val="Normal"/>
        <w:keepNext w:val="true"/>
        <w:keepLines/>
        <w:tabs>
          <w:tab w:val="left" w:pos="709" w:leader="none"/>
        </w:tabs>
        <w:spacing w:before="0" w:after="40"/>
        <w:jc w:val="center"/>
        <w:rPr>
          <w:rFonts w:eastAsia="Times New Roman"/>
          <w:i/>
          <w:i/>
          <w:lang w:val="ru-RU" w:eastAsia="ru-RU"/>
        </w:rPr>
      </w:pPr>
      <w:r>
        <w:rPr>
          <w:rFonts w:eastAsia="Times New Roman"/>
          <w:i/>
          <w:lang w:val="ru-RU" w:eastAsia="ru-RU"/>
        </w:rPr>
        <w:t>(г. Минск, Республика Беларусь)</w:t>
      </w:r>
    </w:p>
    <w:p>
      <w:pPr>
        <w:pStyle w:val="Normal"/>
        <w:keepNext w:val="true"/>
        <w:keepLines/>
        <w:spacing w:before="360" w:after="240"/>
        <w:ind w:left="567"/>
        <w:jc w:val="right"/>
        <w:rPr>
          <w:rFonts w:eastAsia="Times New Roman"/>
          <w:i/>
          <w:i/>
          <w:lang w:val="ru-RU" w:eastAsia="ru-RU"/>
        </w:rPr>
      </w:pPr>
      <w:r>
        <w:rPr>
          <w:rFonts w:eastAsia="Times New Roman"/>
          <w:i/>
          <w:lang w:val="ru-RU" w:eastAsia="ru-RU"/>
        </w:rPr>
        <w:t>Поступила в редакцию</w:t>
      </w:r>
    </w:p>
    <w:p>
      <w:pPr>
        <w:pStyle w:val="Normal"/>
        <w:keepNext w:val="true"/>
        <w:keepLines/>
        <w:tabs>
          <w:tab w:val="left" w:pos="709" w:leader="none"/>
        </w:tabs>
        <w:spacing w:before="240" w:after="40"/>
        <w:rPr/>
      </w:pPr>
      <w:r>
        <w:rPr>
          <w:lang w:val="ru-RU"/>
        </w:rPr>
        <w:t xml:space="preserve">© </w:t>
      </w:r>
      <w:r>
        <w:rPr/>
        <w:t xml:space="preserve">Белорусский </w:t>
      </w:r>
      <w:r>
        <w:rPr>
          <w:lang w:val="ru-RU"/>
        </w:rPr>
        <w:t>государственный</w:t>
      </w:r>
      <w:r>
        <w:rPr/>
        <w:t xml:space="preserve"> университет</w:t>
      </w:r>
      <w:r>
        <w:rPr>
          <w:lang w:val="ru-RU"/>
        </w:rPr>
        <w:t xml:space="preserve"> информатики и радиоэлектроники</w:t>
      </w:r>
      <w:r>
        <w:rPr/>
        <w:t>, 202</w:t>
      </w:r>
      <w:r>
        <w:rPr>
          <w:lang w:val="ru-RU"/>
        </w:rPr>
        <w:t>3</w:t>
      </w:r>
      <w:r>
        <w:rPr/>
        <w:t xml:space="preserve"> </w:t>
      </w:r>
    </w:p>
    <w:p>
      <w:pPr>
        <w:pStyle w:val="Normal"/>
        <w:keepLines/>
        <w:tabs>
          <w:tab w:val="left" w:pos="709" w:leader="none"/>
        </w:tabs>
        <w:spacing w:before="240" w:after="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Для проведения экспериментов использовался набор данных RAVDESS. Предложена модель, которая использует 306-компонентный вектор признаков, вычисленный на основе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pPr>
        <w:pStyle w:val="Normal"/>
        <w:keepNext w:val="true"/>
        <w:keepLines/>
        <w:tabs>
          <w:tab w:val="left" w:pos="709" w:leader="none"/>
        </w:tabs>
        <w:spacing w:before="240" w:after="240"/>
        <w:jc w:val="both"/>
        <w:rPr/>
      </w:pPr>
      <w:r>
        <w:rPr>
          <w:rFonts w:eastAsia="Times New Roman"/>
          <w:b/>
          <w:lang w:val="ru-RU" w:eastAsia="ru-RU"/>
        </w:rPr>
        <w:t xml:space="preserve">Ключевые слова: </w:t>
      </w:r>
      <w:r>
        <w:rPr>
          <w:rFonts w:eastAsia="Times New Roman"/>
          <w:lang w:val="ru-RU" w:eastAsia="ru-RU"/>
        </w:rPr>
        <w:t>голосовой сигнал, МЧКК, извлечение аудио признаков, распознавание, машинное обучение.</w:t>
      </w:r>
    </w:p>
    <w:p>
      <w:pPr>
        <w:pStyle w:val="Normal"/>
        <w:keepNext w:val="true"/>
        <w:keepLines/>
        <w:tabs>
          <w:tab w:val="left" w:pos="709" w:leader="none"/>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pPr>
        <w:pStyle w:val="Normal"/>
        <w:keepNext w:val="true"/>
        <w:keepLines/>
        <w:tabs>
          <w:tab w:val="left" w:pos="709" w:leader="none"/>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pPr>
        <w:pStyle w:val="Normal"/>
        <w:keepNext w:val="true"/>
        <w:keepLines/>
        <w:numPr>
          <w:ilvl w:val="0"/>
          <w:numId w:val="0"/>
        </w:numPr>
        <w:tabs>
          <w:tab w:val="left" w:pos="709" w:leader="none"/>
        </w:tabs>
        <w:spacing w:before="480" w:after="360"/>
        <w:jc w:val="center"/>
        <w:outlineLvl w:val="0"/>
        <w:rPr/>
      </w:pPr>
      <w:r>
        <w:rPr>
          <w:rFonts w:eastAsia="Times New Roman"/>
          <w:b/>
          <w:color w:val="000000"/>
          <w:sz w:val="24"/>
          <w:szCs w:val="24"/>
          <w:lang w:val="en-US"/>
        </w:rPr>
        <w:t>SPEECH EMOTION RECOGNITION USING SVM CLASSIFIER WITH SUPRASEGMENTAL MFCC FEATURES</w:t>
      </w:r>
    </w:p>
    <w:p>
      <w:pPr>
        <w:pStyle w:val="Normal"/>
        <w:jc w:val="center"/>
        <w:rPr/>
      </w:pPr>
      <w:r>
        <w:rPr>
          <w:rFonts w:eastAsia="Times New Roman"/>
          <w:sz w:val="22"/>
          <w:lang w:val="en-US" w:eastAsia="ru-RU"/>
        </w:rPr>
        <w:t>MAXIM.I. VASHKEVICH, DANIIL V. KRASNOPROSHIN</w:t>
      </w:r>
    </w:p>
    <w:p>
      <w:pPr>
        <w:pStyle w:val="Normal"/>
        <w:widowControl w:val="false"/>
        <w:tabs>
          <w:tab w:val="left" w:pos="709" w:leader="none"/>
        </w:tabs>
        <w:spacing w:before="240" w:after="40"/>
        <w:jc w:val="center"/>
        <w:rPr/>
      </w:pPr>
      <w:r>
        <w:rPr>
          <w:rFonts w:eastAsia="Times New Roman"/>
          <w:i/>
          <w:lang w:val="en-US" w:eastAsia="ru-RU"/>
        </w:rPr>
        <w:t>Belarusian state university of informatics and radioelectronics</w:t>
      </w:r>
    </w:p>
    <w:p>
      <w:pPr>
        <w:pStyle w:val="Normal"/>
        <w:widowControl w:val="false"/>
        <w:tabs>
          <w:tab w:val="left" w:pos="709" w:leader="none"/>
        </w:tabs>
        <w:spacing w:before="0" w:after="40"/>
        <w:jc w:val="center"/>
        <w:rPr/>
      </w:pPr>
      <w:r>
        <w:rPr>
          <w:rFonts w:eastAsia="Times New Roman"/>
          <w:i/>
          <w:lang w:val="en-US" w:eastAsia="ru-RU"/>
        </w:rPr>
        <w:t>P.Brovki str., 6, Minsk, 220013, Republic of Belarus</w:t>
      </w:r>
    </w:p>
    <w:p>
      <w:pPr>
        <w:pStyle w:val="Normal"/>
        <w:widowControl w:val="false"/>
        <w:spacing w:before="360" w:after="240"/>
        <w:ind w:left="567"/>
        <w:jc w:val="right"/>
        <w:rPr>
          <w:rFonts w:eastAsia="Times New Roman"/>
          <w:i/>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pPr>
        <w:pStyle w:val="Normal"/>
        <w:widowControl w:val="false"/>
        <w:tabs>
          <w:tab w:val="left" w:pos="709" w:leader="none"/>
        </w:tabs>
        <w:spacing w:before="0" w:after="40"/>
        <w:rPr/>
      </w:pPr>
      <w:r>
        <w:rPr>
          <w:lang w:val="en-US"/>
        </w:rPr>
        <w:t xml:space="preserve">© </w:t>
      </w:r>
      <w:r>
        <w:rPr/>
        <w:t>Belarusian</w:t>
      </w:r>
      <w:r>
        <w:rPr>
          <w:lang w:val="en-US"/>
        </w:rPr>
        <w:t xml:space="preserve"> State</w:t>
      </w:r>
      <w:r>
        <w:rPr/>
        <w:t xml:space="preserve"> University</w:t>
      </w:r>
      <w:r>
        <w:rPr>
          <w:lang w:val="en-US"/>
        </w:rPr>
        <w:t xml:space="preserve"> of Informatics and Radioelectronics</w:t>
      </w:r>
      <w:r>
        <w:rPr/>
        <w:t>, 202</w:t>
      </w:r>
      <w:r>
        <w:rPr>
          <w:lang w:val="en-US"/>
        </w:rPr>
        <w:t>3</w:t>
      </w:r>
    </w:p>
    <w:p>
      <w:pPr>
        <w:pStyle w:val="Normal"/>
        <w:widowControl w:val="false"/>
        <w:tabs>
          <w:tab w:val="left" w:pos="709" w:leader="none"/>
        </w:tabs>
        <w:spacing w:before="240" w:after="240"/>
        <w:jc w:val="both"/>
        <w:rPr/>
      </w:pPr>
      <w:r>
        <w:rPr>
          <w:rFonts w:eastAsia="Times New Roman"/>
          <w:b/>
          <w:lang w:val="en-US" w:eastAsia="ru-RU"/>
        </w:rPr>
        <w:t xml:space="preserve">Abstract. </w:t>
      </w:r>
      <w:r>
        <w:rPr>
          <w:rFonts w:eastAsia="Times New Roman"/>
          <w:lang w:val="en-US" w:eastAsia="ru-RU"/>
        </w:rPr>
        <w:t>This study explores speech emotion recognition (SER) using mel-frequency cepstral coefficients (MFCCs) and Support Vector Machines (SVMs) classifier on the RAVDESS dataset. We proposed a model which uses 306-component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ms). Experimental results demonstrate promising accuracy (UAR = 48%), showcasing the potential of this approach for applications like voice assistants, virtual agents, and mental health diagnostics.</w:t>
      </w:r>
    </w:p>
    <w:p>
      <w:pPr>
        <w:pStyle w:val="Normal"/>
        <w:widowControl w:val="false"/>
        <w:tabs>
          <w:tab w:val="left" w:pos="709" w:leader="none"/>
        </w:tabs>
        <w:spacing w:before="240" w:after="240"/>
        <w:jc w:val="both"/>
        <w:rPr/>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pPr>
        <w:pStyle w:val="Normal"/>
        <w:widowControl w:val="false"/>
        <w:tabs>
          <w:tab w:val="left" w:pos="709" w:leader="none"/>
        </w:tabs>
        <w:spacing w:before="240" w:after="240"/>
        <w:jc w:val="both"/>
        <w:rPr/>
      </w:pPr>
      <w:r>
        <w:rPr>
          <w:rFonts w:eastAsia="Times New Roman"/>
          <w:b/>
          <w:lang w:val="en-US" w:eastAsia="ru-RU"/>
        </w:rPr>
        <w:t>Conflict of interests.</w:t>
      </w:r>
      <w:r>
        <w:rPr>
          <w:rFonts w:eastAsia="Times New Roman"/>
          <w:lang w:val="en-US" w:eastAsia="ru-RU"/>
        </w:rPr>
        <w:t xml:space="preserve"> The authors declare no conflict of interests.</w:t>
      </w:r>
    </w:p>
    <w:p>
      <w:pPr>
        <w:pStyle w:val="Normal"/>
        <w:widowControl w:val="false"/>
        <w:tabs>
          <w:tab w:val="left" w:pos="709" w:leader="none"/>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Vashkevich M.I., Krasnoproshin D.V., Speech emotion recognition using SVM classifier with suprasegment MFCC features. Doklady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[3].</w:t>
      </w:r>
    </w:p>
    <w:p>
      <w:pPr>
        <w:pStyle w:val="Normal"/>
        <w:shd w:val="clear" w:color="auto" w:fill="FFFFFF"/>
        <w:ind w:firstLine="709"/>
        <w:jc w:val="both"/>
        <w:rPr/>
      </w:pPr>
      <w:r>
        <w:rPr>
          <w:rFonts w:eastAsia="Times New Roman"/>
          <w:sz w:val="22"/>
          <w:szCs w:val="22"/>
          <w:lang w:val="ru-RU"/>
        </w:rPr>
        <w:t>В данной работе рассматривается задач</w:t>
      </w:r>
      <w:r>
        <w:rPr>
          <w:rFonts w:eastAsia="Times New Roman"/>
          <w:sz w:val="22"/>
          <w:szCs w:val="22"/>
          <w:lang w:val="ru-RU"/>
        </w:rPr>
        <w:t>а</w:t>
      </w:r>
      <w:r>
        <w:rPr>
          <w:rFonts w:eastAsia="Times New Roman"/>
          <w:sz w:val="22"/>
          <w:szCs w:val="22"/>
          <w:lang w:val="ru-RU"/>
        </w:rPr>
        <w:t xml:space="preserve">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диктора [1], [4-6].</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Д</w:t>
      </w:r>
      <w:r>
        <w:rPr>
          <w:rFonts w:eastAsia="Times New Roman"/>
          <w:sz w:val="22"/>
          <w:szCs w:val="22"/>
          <w:lang w:val="ru-RU"/>
        </w:rPr>
        <w:t xml:space="preserve">ля построения системы распознавания эмоций </w:t>
      </w:r>
      <w:r>
        <w:rPr>
          <w:rFonts w:eastAsia="Times New Roman"/>
          <w:sz w:val="22"/>
          <w:szCs w:val="22"/>
          <w:lang w:val="ru-RU"/>
        </w:rPr>
        <w:t xml:space="preserve">авторами статьи </w:t>
      </w:r>
      <w:r>
        <w:rPr>
          <w:rFonts w:eastAsia="Times New Roman"/>
          <w:sz w:val="22"/>
          <w:szCs w:val="22"/>
          <w:lang w:val="ru-RU"/>
        </w:rPr>
        <w:t>предлагается использовать мел-частотные кепстральные коэффициенты (МЧКК) [7]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 [7] в качестве метода классификации.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 МЧКК уменьшают размерность данных, сохраняя при этом важные особенности, что делает его пригодным для алгоритмов машинного обучения, таких как МОВ.</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классы в пространстве признаков [9]. В контексте распознавания эмоций по речи это означает, что МОВ может эффективно дифференцировать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pPr>
        <w:pStyle w:val="Normal"/>
        <w:ind w:firstLine="567"/>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lang w:val="ru-RU"/>
        </w:rPr>
      </w:pPr>
      <w:r>
        <w:rPr>
          <w:rFonts w:eastAsia="Times New Roman"/>
          <w:b/>
          <w:bCs/>
          <w:sz w:val="22"/>
          <w:szCs w:val="22"/>
          <w:lang w:val="ru-RU"/>
        </w:rPr>
        <w:t>Извлечение речевых признаков</w:t>
      </w:r>
    </w:p>
    <w:p>
      <w:pPr>
        <w:pStyle w:val="Normal"/>
        <w:ind w:firstLine="567"/>
        <w:jc w:val="both"/>
        <w:rPr>
          <w:rFonts w:eastAsia="Times New Roman"/>
          <w:sz w:val="22"/>
          <w:szCs w:val="22"/>
          <w:lang w:val="ru-RU"/>
        </w:rPr>
      </w:pPr>
      <w:r>
        <w:rPr>
          <w:rFonts w:eastAsia="Times New Roman"/>
          <w:sz w:val="22"/>
          <w:szCs w:val="22"/>
          <w:lang w:val="ru-RU"/>
        </w:rPr>
      </w:r>
    </w:p>
    <w:p>
      <w:pPr>
        <w:pStyle w:val="Normal"/>
        <w:ind w:firstLine="567"/>
        <w:jc w:val="both"/>
        <w:rPr/>
      </w:pPr>
      <w:r>
        <w:rPr>
          <w:color w:themeColor="text1" w:val="000000"/>
          <w:sz w:val="22"/>
          <w:szCs w:val="22"/>
        </w:rPr>
        <w:t xml:space="preserve">Первым этапом системы по распознаванию </w:t>
      </w:r>
      <w:r>
        <w:rPr>
          <w:color w:themeColor="text1" w:val="000000"/>
          <w:sz w:val="22"/>
          <w:szCs w:val="22"/>
          <w:lang w:val="ru-RU"/>
        </w:rPr>
        <w:t xml:space="preserve">эмоций по </w:t>
      </w:r>
      <w:r>
        <w:rPr>
          <w:color w:themeColor="text1" w:val="000000"/>
          <w:sz w:val="22"/>
          <w:szCs w:val="22"/>
        </w:rPr>
        <w:t>реч</w:t>
      </w:r>
      <w:r>
        <w:rPr>
          <w:color w:themeColor="text1" w:val="000000"/>
          <w:sz w:val="22"/>
          <w:szCs w:val="22"/>
          <w:lang w:val="ru-RU"/>
        </w:rPr>
        <w:t>и</w:t>
      </w:r>
      <w:r>
        <w:rPr>
          <w:color w:themeColor="text1" w:val="000000"/>
          <w:sz w:val="22"/>
          <w:szCs w:val="22"/>
        </w:rPr>
        <w:t xml:space="preserve"> является предварительная обработка входных </w:t>
      </w:r>
      <w:r>
        <w:rPr>
          <w:color w:themeColor="text1" w:val="000000"/>
          <w:sz w:val="22"/>
          <w:szCs w:val="22"/>
          <w:lang w:val="ru-RU"/>
        </w:rPr>
        <w:t>аудио</w:t>
      </w:r>
      <w:r>
        <w:rPr>
          <w:color w:themeColor="text1" w:val="000000"/>
          <w:sz w:val="22"/>
          <w:szCs w:val="22"/>
        </w:rPr>
        <w:t>данных [1</w:t>
      </w:r>
      <w:r>
        <w:rPr>
          <w:color w:themeColor="text1" w:val="000000"/>
          <w:sz w:val="22"/>
          <w:szCs w:val="22"/>
          <w:lang w:val="ru-RU"/>
        </w:rPr>
        <w:t>, 5</w:t>
      </w:r>
      <w:r>
        <w:rPr>
          <w:color w:themeColor="text1" w:val="000000"/>
          <w:sz w:val="22"/>
          <w:szCs w:val="22"/>
        </w:rPr>
        <w:t xml:space="preserve">]. </w:t>
      </w:r>
      <w:r>
        <w:rPr>
          <w:color w:themeColor="text1" w:val="000000"/>
          <w:sz w:val="22"/>
          <w:szCs w:val="22"/>
          <w:lang w:val="ru-RU"/>
        </w:rPr>
        <w:t xml:space="preserve">В данной работе речевые признаки рассчитывались на основании МЧКК </w:t>
      </w:r>
      <w:r>
        <w:rPr>
          <w:color w:themeColor="text1" w:val="000000"/>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pPr>
        <w:pStyle w:val="Style12"/>
        <w:rPr>
          <w:rFonts w:eastAsia="Times New Roman"/>
        </w:rPr>
      </w:pPr>
      <w:r>
        <w:rPr/>
        <mc:AlternateContent>
          <mc:Choice Requires="wps">
            <w:drawing>
              <wp:anchor behindDoc="0" distT="0" distB="0" distL="0" distR="0" simplePos="0" locked="0" layoutInCell="1" allowOverlap="1" relativeHeight="11" wp14:anchorId="10C59586">
                <wp:simplePos x="0" y="0"/>
                <wp:positionH relativeFrom="column">
                  <wp:posOffset>0</wp:posOffset>
                </wp:positionH>
                <wp:positionV relativeFrom="paragraph">
                  <wp:posOffset>635</wp:posOffset>
                </wp:positionV>
                <wp:extent cx="635000" cy="635000"/>
                <wp:effectExtent l="0" t="0" r="0" b="0"/>
                <wp:wrapNone/>
                <wp:docPr id="5"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05pt;width:49.95pt;height:49.95pt;mso-wrap-style:none;v-text-anchor:middle" wp14:anchorId="10C59586">
                <v:fill o:detectmouseclick="t" on="false"/>
                <v:stroke color="#3465a4" joinstyle="round" endcap="flat"/>
                <w10:wrap type="none"/>
              </v:rect>
            </w:pict>
          </mc:Fallback>
        </mc:AlternateContent>
        <w:t xml:space="preserve"> </w:t>
      </w:r>
      <w:r>
        <mc:AlternateContent>
          <mc:Choice Requires="wps">
            <w:drawing>
              <wp:anchor behindDoc="0" distT="0" distB="3175" distL="0" distR="3175" simplePos="0" locked="0" layoutInCell="1" allowOverlap="1" relativeHeight="13" wp14:anchorId="16B1A337">
                <wp:simplePos x="0" y="0"/>
                <wp:positionH relativeFrom="column">
                  <wp:posOffset>0</wp:posOffset>
                </wp:positionH>
                <wp:positionV relativeFrom="paragraph">
                  <wp:posOffset>635</wp:posOffset>
                </wp:positionV>
                <wp:extent cx="635000" cy="635000"/>
                <wp:effectExtent l="0" t="0" r="0" b="0"/>
                <wp:wrapNone/>
                <wp:docPr id="6"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pt;width:49.95pt;height:49.95pt;mso-wrap-style:none;v-text-anchor:middle" wp14:anchorId="16B1A337">
                <v:fill o:detectmouseclick="t" on="false"/>
                <v:stroke color="#3465a4" joinstyle="round" endcap="flat"/>
                <w10:wrap type="none"/>
              </v:rect>
            </w:pict>
          </mc:Fallback>
        </mc:AlternateContent>
      </w:r>
      <w:r>
        <w:rPr/>
        <w:drawing>
          <wp:inline distT="0" distB="0" distL="0" distR="0">
            <wp:extent cx="4012565" cy="1958340"/>
            <wp:effectExtent l="0" t="0" r="0" b="0"/>
            <wp:docPr id="7" name="ole_rI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e_rId5" descr=""/>
                    <pic:cNvPicPr>
                      <a:picLocks noChangeAspect="1" noChangeArrowheads="1"/>
                    </pic:cNvPicPr>
                  </pic:nvPicPr>
                  <pic:blipFill>
                    <a:blip r:embed="rId5"/>
                    <a:stretch>
                      <a:fillRect/>
                    </a:stretch>
                  </pic:blipFill>
                  <pic:spPr bwMode="auto">
                    <a:xfrm>
                      <a:off x="0" y="0"/>
                      <a:ext cx="4012565" cy="1958340"/>
                    </a:xfrm>
                    <a:prstGeom prst="rect">
                      <a:avLst/>
                    </a:prstGeom>
                  </pic:spPr>
                </pic:pic>
              </a:graphicData>
            </a:graphic>
          </wp:inline>
        </w:drawing>
      </w:r>
    </w:p>
    <w:p>
      <w:pPr>
        <w:pStyle w:val="Normal"/>
        <w:shd w:val="clear" w:color="auto" w:fill="FFFFFF"/>
        <w:jc w:val="center"/>
        <w:rPr>
          <w:i/>
          <w:i/>
          <w:highlight w:val="yellow"/>
          <w:lang w:val="ru-RU"/>
        </w:rPr>
      </w:pPr>
      <w:r>
        <w:rPr>
          <w:b/>
          <w:lang w:val="ru-RU"/>
        </w:rPr>
        <w:t>Рис. 1.</w:t>
      </w:r>
      <w:r>
        <w:rPr>
          <w:lang w:val="ru-RU"/>
        </w:rPr>
        <w:t xml:space="preserve"> Схема вычисления мел-частотных кепстральных коэффициентов (МЧКК)</w:t>
      </w:r>
    </w:p>
    <w:p>
      <w:pPr>
        <w:pStyle w:val="Normal"/>
        <w:shd w:val="clear" w:color="auto" w:fill="FFFFFF"/>
        <w:jc w:val="center"/>
        <w:rPr>
          <w:rFonts w:eastAsia="Times New Roman"/>
          <w:lang w:val="en-US"/>
        </w:rPr>
      </w:pPr>
      <w:r>
        <w:rPr>
          <w:rFonts w:eastAsia="Times New Roman"/>
          <w:b/>
          <w:color w:themeColor="text1" w:val="000000"/>
          <w:lang w:val="en-US"/>
        </w:rPr>
        <w:t>Fig. 1.</w:t>
      </w:r>
      <w:r>
        <w:rPr>
          <w:rFonts w:eastAsia="Times New Roman"/>
          <w:color w:themeColor="text1" w:val="000000"/>
          <w:lang w:val="en-US"/>
        </w:rPr>
        <w:t xml:space="preserve"> </w:t>
      </w:r>
      <w:r>
        <w:rPr>
          <w:rStyle w:val="Jlqj4b"/>
          <w:color w:themeColor="text1" w:val="000000"/>
        </w:rPr>
        <w:t>Scheme</w:t>
      </w:r>
      <w:r>
        <w:rPr>
          <w:rStyle w:val="Jlqj4b"/>
          <w:color w:themeColor="text1" w:val="000000"/>
          <w:lang w:val="en-US"/>
        </w:rPr>
        <w:t xml:space="preserve"> </w:t>
      </w:r>
      <w:r>
        <w:rPr>
          <w:rStyle w:val="Jlqj4b"/>
          <w:color w:themeColor="text1" w:val="000000"/>
        </w:rPr>
        <w:t>for</w:t>
      </w:r>
      <w:r>
        <w:rPr>
          <w:rStyle w:val="Jlqj4b"/>
          <w:color w:themeColor="text1" w:val="000000"/>
          <w:lang w:val="en-US"/>
        </w:rPr>
        <w:t xml:space="preserve"> </w:t>
      </w:r>
      <w:r>
        <w:rPr>
          <w:rStyle w:val="Jlqj4b"/>
          <w:color w:themeColor="text1" w:val="000000"/>
        </w:rPr>
        <w:t>calculating</w:t>
      </w:r>
      <w:r>
        <w:rPr>
          <w:rStyle w:val="Jlqj4b"/>
          <w:color w:themeColor="text1" w:val="000000"/>
          <w:lang w:val="en-US"/>
        </w:rPr>
        <w:t xml:space="preserve"> </w:t>
      </w:r>
      <w:r>
        <w:rPr>
          <w:rFonts w:eastAsia="Times New Roman"/>
          <w:color w:themeColor="text1" w:val="000000"/>
          <w:lang w:val="en-US"/>
        </w:rPr>
        <w:t>mel-frequency cepstral coefficients (MFCC)</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rPr>
          <w:color w:themeColor="text1" w:val="000000"/>
          <w:sz w:val="22"/>
          <w:szCs w:val="22"/>
        </w:rPr>
      </w:pPr>
      <w:r>
        <w:rPr>
          <w:color w:themeColor="text1" w:val="000000"/>
          <w:sz w:val="22"/>
          <w:szCs w:val="22"/>
          <w:lang w:val="ru-RU"/>
        </w:rPr>
        <w:t xml:space="preserve">Согласно </w:t>
      </w:r>
      <w:r>
        <w:rPr>
          <w:sz w:val="22"/>
          <w:szCs w:val="22"/>
          <w:lang w:val="ru-RU"/>
        </w:rPr>
        <w:t>рис. 1</w:t>
      </w:r>
      <w:r>
        <w:rPr>
          <w:color w:themeColor="text1" w:val="000000"/>
          <w:sz w:val="22"/>
          <w:szCs w:val="22"/>
          <w:lang w:val="ru-RU"/>
        </w:rPr>
        <w:t xml:space="preserve"> п</w:t>
      </w:r>
      <w:r>
        <w:rPr>
          <w:color w:themeColor="text1" w:val="000000"/>
          <w:sz w:val="22"/>
          <w:szCs w:val="22"/>
        </w:rPr>
        <w:t xml:space="preserve">роцесс извлечения </w:t>
      </w:r>
      <w:r>
        <w:rPr>
          <w:color w:themeColor="text1" w:val="000000"/>
          <w:sz w:val="22"/>
          <w:szCs w:val="22"/>
          <w:lang w:val="ru-RU"/>
        </w:rPr>
        <w:t>МЧКК</w:t>
      </w:r>
      <w:r>
        <w:rPr>
          <w:color w:themeColor="text1" w:val="000000"/>
          <w:sz w:val="22"/>
          <w:szCs w:val="22"/>
        </w:rPr>
        <w:t xml:space="preserve"> включает следующие шаги:</w:t>
      </w:r>
    </w:p>
    <w:p>
      <w:pPr>
        <w:pStyle w:val="Style16"/>
        <w:spacing w:lineRule="auto" w:line="240"/>
        <w:ind w:firstLine="680" w:left="0"/>
        <w:rPr>
          <w:color w:themeColor="text1" w:val="000000"/>
          <w:sz w:val="22"/>
          <w:szCs w:val="22"/>
          <w:lang w:val="ru-RU"/>
        </w:rPr>
      </w:pPr>
      <w:r>
        <w:rPr>
          <w:color w:themeColor="text1" w:val="000000"/>
          <w:sz w:val="22"/>
          <w:szCs w:val="22"/>
        </w:rPr>
        <w:t>1)</w:t>
      </w:r>
      <w:r>
        <w:rPr>
          <w:color w:themeColor="text1" w:val="000000"/>
          <w:sz w:val="22"/>
          <w:szCs w:val="22"/>
          <w:lang w:val="en-US"/>
        </w:rPr>
        <w:t> </w:t>
      </w:r>
      <w:r>
        <w:rPr>
          <w:color w:themeColor="text1" w:val="000000"/>
          <w:sz w:val="22"/>
          <w:szCs w:val="22"/>
          <w:lang w:val="ru-RU"/>
        </w:rPr>
        <w:t>вычисление к</w:t>
      </w:r>
      <w:r>
        <w:rPr>
          <w:color w:themeColor="text1" w:val="000000"/>
          <w:sz w:val="22"/>
          <w:szCs w:val="22"/>
        </w:rPr>
        <w:t>ратковременно</w:t>
      </w:r>
      <w:r>
        <w:rPr>
          <w:color w:themeColor="text1" w:val="000000"/>
          <w:sz w:val="22"/>
          <w:szCs w:val="22"/>
          <w:lang w:val="ru-RU"/>
        </w:rPr>
        <w:t>го</w:t>
      </w:r>
      <w:r>
        <w:rPr>
          <w:color w:themeColor="text1" w:val="000000"/>
          <w:sz w:val="22"/>
          <w:szCs w:val="22"/>
        </w:rPr>
        <w:t xml:space="preserve"> преобразовани</w:t>
      </w:r>
      <w:r>
        <w:rPr>
          <w:color w:themeColor="text1" w:val="000000"/>
          <w:sz w:val="22"/>
          <w:szCs w:val="22"/>
          <w:lang w:val="ru-RU"/>
        </w:rPr>
        <w:t>я</w:t>
      </w:r>
      <w:r>
        <w:rPr>
          <w:color w:themeColor="text1" w:val="000000"/>
          <w:sz w:val="22"/>
          <w:szCs w:val="22"/>
        </w:rPr>
        <w:t xml:space="preserve"> Фурье (КВПФ)</w:t>
      </w:r>
      <w:r>
        <w:rPr>
          <w:color w:themeColor="text1" w:val="000000"/>
          <w:sz w:val="22"/>
          <w:szCs w:val="22"/>
          <w:lang w:val="ru-RU"/>
        </w:rPr>
        <w:t xml:space="preserve"> и нахождение квадрата модуля КВПФ для получения спектрограммы сигнала;</w:t>
      </w:r>
    </w:p>
    <w:p>
      <w:pPr>
        <w:pStyle w:val="Style16"/>
        <w:spacing w:lineRule="auto" w:line="240"/>
        <w:ind w:firstLine="680" w:left="0"/>
        <w:rPr>
          <w:sz w:val="22"/>
          <w:szCs w:val="22"/>
          <w:lang w:val="ru-RU"/>
        </w:rPr>
      </w:pPr>
      <w:r>
        <w:rPr>
          <w:color w:themeColor="text1" w:val="000000"/>
          <w:sz w:val="22"/>
          <w:szCs w:val="22"/>
        </w:rPr>
        <w:t>2)</w:t>
      </w:r>
      <w:r>
        <w:rPr>
          <w:color w:themeColor="text1" w:val="000000"/>
          <w:sz w:val="22"/>
          <w:szCs w:val="22"/>
          <w:lang w:val="en-US"/>
        </w:rPr>
        <w:t> </w:t>
      </w:r>
      <w:r>
        <w:rPr>
          <w:color w:themeColor="text1" w:val="000000"/>
          <w:sz w:val="22"/>
          <w:szCs w:val="22"/>
          <w:lang w:val="ru-RU"/>
        </w:rPr>
        <w:t>вычисление мел-спектрограммы (энергия сигнала из шкалы герц переводится в мел-шкалу, отражающую</w:t>
      </w:r>
      <w:r>
        <w:rPr>
          <w:color w:themeColor="text1" w:val="000000"/>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pPr>
        <w:pStyle w:val="Style16"/>
        <w:spacing w:lineRule="auto" w:line="240"/>
        <w:ind w:firstLine="680" w:left="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pPr>
        <w:pStyle w:val="Style16"/>
        <w:spacing w:lineRule="auto" w:line="240"/>
        <w:ind w:firstLine="680" w:left="0"/>
        <w:rPr>
          <w:sz w:val="22"/>
          <w:szCs w:val="22"/>
        </w:rPr>
      </w:pPr>
      <w:r>
        <w:rPr>
          <w:sz w:val="22"/>
          <w:szCs w:val="22"/>
          <w:lang w:val="ru-RU"/>
        </w:rPr>
        <w:t>4)</w:t>
      </w:r>
      <w:r>
        <w:rPr>
          <w:sz w:val="22"/>
          <w:szCs w:val="22"/>
          <w:lang w:val="en-US"/>
        </w:rPr>
        <w:t> </w:t>
      </w:r>
      <w:r>
        <w:rPr>
          <w:sz w:val="22"/>
          <w:szCs w:val="22"/>
          <w:lang w:val="ru-RU"/>
        </w:rPr>
        <w:t xml:space="preserve">применение </w:t>
      </w:r>
      <w:r>
        <w:rPr>
          <w:color w:themeColor="text1" w:val="000000"/>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pPr>
        <w:pStyle w:val="Style16"/>
        <w:spacing w:lineRule="auto" w:line="240"/>
        <w:ind w:firstLine="680" w:left="0"/>
        <w:rPr>
          <w:lang w:val="ru-RU"/>
        </w:rPr>
      </w:pPr>
      <w:r>
        <w:rPr>
          <w:sz w:val="22"/>
          <w:szCs w:val="22"/>
          <w:lang w:val="ru-RU"/>
        </w:rPr>
        <w:t>В качестве иллюстрации на рис. 2 показан пример речевого сигнала, выражающего эмоцию гнева.</w:t>
      </w:r>
    </w:p>
    <w:p>
      <w:pPr>
        <w:pStyle w:val="Style12"/>
        <w:rPr>
          <w:lang w:val="be-BY"/>
        </w:rPr>
      </w:pPr>
      <w:r>
        <w:rPr/>
        <w:drawing>
          <wp:inline distT="0" distB="0" distL="0" distR="0">
            <wp:extent cx="4657090" cy="1529715"/>
            <wp:effectExtent l="0" t="0" r="0" b="0"/>
            <wp:docPr id="8"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 descr=""/>
                    <pic:cNvPicPr>
                      <a:picLocks noChangeAspect="1" noChangeArrowheads="1"/>
                    </pic:cNvPicPr>
                  </pic:nvPicPr>
                  <pic:blipFill>
                    <a:blip r:embed="rId6"/>
                    <a:stretch>
                      <a:fillRect/>
                    </a:stretch>
                  </pic:blipFill>
                  <pic:spPr bwMode="auto">
                    <a:xfrm>
                      <a:off x="0" y="0"/>
                      <a:ext cx="4657090" cy="1529715"/>
                    </a:xfrm>
                    <a:prstGeom prst="rect">
                      <a:avLst/>
                    </a:prstGeom>
                  </pic:spPr>
                </pic:pic>
              </a:graphicData>
            </a:graphic>
          </wp:inline>
        </w:drawing>
      </w:r>
    </w:p>
    <w:p>
      <w:pPr>
        <w:pStyle w:val="Style12"/>
        <w:rPr>
          <w:lang w:val="be-BY"/>
        </w:rPr>
      </w:pPr>
      <w:r>
        <w:rPr/>
        <w:t>Рис. 2. Представление речевого сигнала, выражающего гнев («Kids are talking by the door»)</w:t>
        <w:br/>
      </w:r>
      <w:r>
        <w:rPr>
          <w:lang w:val="be-BY"/>
        </w:rPr>
        <w:t>Fig. 2. Representation of the speech signal expressing anger</w:t>
      </w:r>
    </w:p>
    <w:p>
      <w:pPr>
        <w:pStyle w:val="Style16"/>
        <w:spacing w:lineRule="auto" w:line="240"/>
        <w:ind w:firstLine="680" w:left="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pPr>
        <w:pStyle w:val="Style12"/>
        <w:rPr/>
      </w:pPr>
      <w:r>
        <w:rPr/>
        <w:drawing>
          <wp:inline distT="0" distB="0" distL="0" distR="0">
            <wp:extent cx="4698365" cy="1816100"/>
            <wp:effectExtent l="0" t="0" r="0" b="0"/>
            <wp:docPr id="9"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descr=""/>
                    <pic:cNvPicPr>
                      <a:picLocks noChangeAspect="1" noChangeArrowheads="1"/>
                    </pic:cNvPicPr>
                  </pic:nvPicPr>
                  <pic:blipFill>
                    <a:blip r:embed="rId7"/>
                    <a:stretch>
                      <a:fillRect/>
                    </a:stretch>
                  </pic:blipFill>
                  <pic:spPr bwMode="auto">
                    <a:xfrm>
                      <a:off x="0" y="0"/>
                      <a:ext cx="4698365" cy="1816100"/>
                    </a:xfrm>
                    <a:prstGeom prst="rect">
                      <a:avLst/>
                    </a:prstGeom>
                  </pic:spPr>
                </pic:pic>
              </a:graphicData>
            </a:graphic>
          </wp:inline>
        </w:drawing>
      </w:r>
    </w:p>
    <w:tbl>
      <w:tblPr>
        <w:tblStyle w:val="afb"/>
        <w:tblW w:w="7371"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3970"/>
        <w:gridCol w:w="3400"/>
      </w:tblGrid>
      <w:tr>
        <w:trPr/>
        <w:tc>
          <w:tcPr>
            <w:tcW w:w="3970"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а)</w:t>
            </w:r>
          </w:p>
        </w:tc>
        <w:tc>
          <w:tcPr>
            <w:tcW w:w="3400"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б)</w:t>
            </w:r>
          </w:p>
        </w:tc>
      </w:tr>
    </w:tbl>
    <w:p>
      <w:pPr>
        <w:pStyle w:val="Style12"/>
        <w:rPr/>
      </w:pPr>
      <w:r>
        <w:rPr/>
        <w:t>Рис. 3. речевого сигнала, выражающего гнев: а) спектрограмма (КВПФ), б) мелспектрограмма</w:t>
      </w:r>
    </w:p>
    <w:p>
      <w:pPr>
        <w:pStyle w:val="Style12"/>
        <w:rPr>
          <w:lang w:val="en-US"/>
        </w:rPr>
      </w:pPr>
      <w:r>
        <w:rPr>
          <w:lang w:val="en-US"/>
        </w:rPr>
        <w:t>Fig. 3. Speech signal expressing anger: a) spectrogram (STFT), b) mel-spectrogramm</w:t>
      </w:r>
    </w:p>
    <w:p>
      <w:pPr>
        <w:pStyle w:val="Style16"/>
        <w:spacing w:lineRule="auto" w:line="240"/>
        <w:ind w:firstLine="680" w:left="0"/>
        <w:jc w:val="left"/>
        <w:rPr/>
      </w:pPr>
      <w:r>
        <w:rPr>
          <w:sz w:val="22"/>
          <w:szCs w:val="22"/>
        </w:rPr>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pPr>
        <w:pStyle w:val="Style12"/>
        <w:rPr/>
      </w:pPr>
      <w:r>
        <w:rPr/>
        <w:drawing>
          <wp:inline distT="0" distB="0" distL="0" distR="0">
            <wp:extent cx="4726940" cy="2098675"/>
            <wp:effectExtent l="0" t="0" r="0" b="0"/>
            <wp:docPr id="10"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descr=""/>
                    <pic:cNvPicPr>
                      <a:picLocks noChangeAspect="1" noChangeArrowheads="1"/>
                    </pic:cNvPicPr>
                  </pic:nvPicPr>
                  <pic:blipFill>
                    <a:blip r:embed="rId8"/>
                    <a:stretch>
                      <a:fillRect/>
                    </a:stretch>
                  </pic:blipFill>
                  <pic:spPr bwMode="auto">
                    <a:xfrm>
                      <a:off x="0" y="0"/>
                      <a:ext cx="4726940" cy="2098675"/>
                    </a:xfrm>
                    <a:prstGeom prst="rect">
                      <a:avLst/>
                    </a:prstGeom>
                  </pic:spPr>
                </pic:pic>
              </a:graphicData>
            </a:graphic>
          </wp:inline>
        </w:drawing>
      </w:r>
    </w:p>
    <w:p>
      <w:pPr>
        <w:pStyle w:val="Style12"/>
        <w:rPr/>
      </w:pPr>
      <w:r>
        <w:rPr/>
        <w:t>Рис. 4. Временная последовательность МЧКК</w:t>
      </w:r>
    </w:p>
    <w:p>
      <w:pPr>
        <w:pStyle w:val="Style12"/>
        <w:rPr/>
      </w:pPr>
      <w:r>
        <w:rPr/>
        <w:t>Fig. 4. Time-sequence of MFCC</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br/>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1024,2048</m:t>
        </m:r>
        <m:r>
          <w:rPr>
            <w:rFonts w:ascii="Cambria Math" w:hAnsi="Cambria Math"/>
          </w:rPr>
          <m:t xml:space="preserve">,</m:t>
        </m:r>
        <m:r>
          <w:rPr>
            <w:rFonts w:ascii="Cambria Math" w:hAnsi="Cambria Math"/>
          </w:rPr>
          <m:t xml:space="preserve">4</m:t>
        </m:r>
        <m:r>
          <w:rPr>
            <w:rFonts w:ascii="Cambria Math" w:hAnsi="Cambria Math"/>
          </w:rPr>
          <m:t xml:space="preserve">096,8192</m:t>
        </m:r>
        <m:r>
          <w:rPr>
            <w:rFonts w:ascii="Cambria Math" w:hAnsi="Cambria Math"/>
          </w:rPr>
          <m:t xml:space="preserve">}</m:t>
        </m:r>
      </m:oMath>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40 МЧКК. После обработки одного аудиофайла мы получаем матрицу </w:t>
      </w:r>
      <w:r>
        <w:rPr/>
      </w:r>
      <m:oMath xmlns:m="http://schemas.openxmlformats.org/officeDocument/2006/math">
        <m:r>
          <w:rPr>
            <w:rFonts w:ascii="Cambria Math" w:hAnsi="Cambria Math"/>
          </w:rPr>
          <m:t xml:space="preserve">M</m:t>
        </m:r>
        <m:r>
          <w:rPr>
            <w:rFonts w:ascii="Cambria Math" w:hAnsi="Cambria Math"/>
          </w:rPr>
          <m:t xml:space="preserve">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oMath>
      <w:r>
        <w:rPr>
          <w:rFonts w:eastAsia="Times New Roman"/>
          <w:sz w:val="22"/>
          <w:szCs w:val="22"/>
          <w:lang w:val="ru-RU"/>
        </w:rPr>
        <w:t xml:space="preserve"> размером </w:t>
      </w:r>
      <w:r>
        <w:rPr/>
      </w:r>
      <m:oMath xmlns:m="http://schemas.openxmlformats.org/officeDocument/2006/math">
        <m:r>
          <w:rPr>
            <w:rFonts w:ascii="Cambria Math" w:hAnsi="Cambria Math"/>
          </w:rPr>
          <m:t xml:space="preserve">40</m:t>
        </m:r>
        <m:r>
          <w:rPr>
            <w:rFonts w:ascii="Cambria Math" w:hAnsi="Cambria Math"/>
          </w:rPr>
          <m:t xml:space="preserve">×</m:t>
        </m:r>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где </w:t>
      </w:r>
      <w:r>
        <w:rPr/>
      </w:r>
      <m:oMath xmlns:m="http://schemas.openxmlformats.org/officeDocument/2006/math">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 количество фреймов. Таким образом, </w:t>
      </w:r>
      <w:r>
        <w:rPr/>
      </w:r>
      <m:oMath xmlns:m="http://schemas.openxmlformats.org/officeDocument/2006/math">
        <m:r>
          <w:rPr>
            <w:rFonts w:ascii="Cambria Math" w:hAnsi="Cambria Math"/>
          </w:rPr>
          <m:t xml:space="preserve">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w:r>
        <w:rPr/>
      </w:r>
      <m:oMath xmlns:m="http://schemas.openxmlformats.org/officeDocument/2006/math">
        <m:r>
          <w:rPr>
            <w:rFonts w:ascii="Cambria Math" w:hAnsi="Cambria Math"/>
          </w:rPr>
          <m:t xml:space="preserve">m</m:t>
        </m:r>
      </m:oMath>
      <w:r>
        <w:rPr>
          <w:rFonts w:eastAsia="Times New Roman"/>
          <w:sz w:val="22"/>
          <w:szCs w:val="22"/>
          <w:lang w:val="ru-RU"/>
        </w:rPr>
        <w:t>.</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w:r>
        <w:rPr/>
      </w:r>
      <m:oMath xmlns:m="http://schemas.openxmlformats.org/officeDocument/2006/math">
        <m:r>
          <w:rPr>
            <w:rFonts w:ascii="Cambria Math" w:hAnsi="Cambria Math"/>
          </w:rPr>
          <m:t xml:space="preserve">M</m:t>
        </m:r>
        <m:r>
          <w:rPr>
            <w:rFonts w:ascii="Cambria Math" w:hAnsi="Cambria Math"/>
          </w:rPr>
          <m:t xml:space="preserve">FCC</m:t>
        </m:r>
      </m:oMath>
      <w:r>
        <w:rPr>
          <w:rFonts w:eastAsia="Times New Roman"/>
          <w:sz w:val="22"/>
          <w:szCs w:val="22"/>
          <w:lang w:val="ru-RU"/>
        </w:rPr>
        <w:t xml:space="preserve"> рассчитывался вектор признаков фиксированной длины.</w:t>
      </w:r>
    </w:p>
    <w:p>
      <w:pPr>
        <w:pStyle w:val="Normal"/>
        <w:shd w:val="clear" w:color="auto" w:fill="FFFFFF"/>
        <w:ind w:firstLine="709"/>
        <w:jc w:val="both"/>
        <w:rPr/>
      </w:pPr>
      <w:r>
        <w:rPr>
          <w:rFonts w:eastAsia="Times New Roman"/>
          <w:sz w:val="22"/>
          <w:szCs w:val="22"/>
          <w:lang w:val="ru-RU"/>
        </w:rPr>
        <w:t xml:space="preserve">Чтобы получить единый вектор признаков для каждого аудиофайла, мы вычисляем средние </w:t>
      </w:r>
      <w:r>
        <w:rPr/>
      </w:r>
      <m:oMath xmlns:m="http://schemas.openxmlformats.org/officeDocument/2006/math">
        <m:r>
          <w:rPr>
            <w:rFonts w:ascii="Cambria Math" w:hAnsi="Cambria Math"/>
          </w:rPr>
          <m:t xml:space="preserve">meanMFCC</m:t>
        </m:r>
        <m:d>
          <m:dPr>
            <m:begChr m:val="("/>
            <m:endChr m:val=")"/>
          </m:dPr>
          <m:e>
            <m:r>
              <w:rPr>
                <w:rFonts w:ascii="Cambria Math" w:hAnsi="Cambria Math"/>
              </w:rPr>
              <m:t xml:space="preserve">k</m:t>
            </m:r>
          </m:e>
        </m:d>
      </m:oMath>
      <w:r>
        <w:rPr>
          <w:rFonts w:eastAsia="Times New Roman"/>
          <w:sz w:val="22"/>
          <w:szCs w:val="22"/>
          <w:lang w:val="ru-RU"/>
        </w:rPr>
        <w:t xml:space="preserve"> (34 признака) и СКО – среднеквадратичные отклонения, </w:t>
      </w:r>
      <w:r>
        <w:rPr/>
      </w:r>
      <m:oMath xmlns:m="http://schemas.openxmlformats.org/officeDocument/2006/math">
        <m:r>
          <w:rPr>
            <w:rFonts w:ascii="Cambria Math" w:hAnsi="Cambria Math"/>
          </w:rPr>
          <m:t xml:space="preserve">SDMFCC</m:t>
        </m:r>
        <m:d>
          <m:dPr>
            <m:begChr m:val="("/>
            <m:endChr m:val=")"/>
          </m:dPr>
          <m:e>
            <m:r>
              <w:rPr>
                <w:rFonts w:ascii="Cambria Math" w:hAnsi="Cambria Math"/>
              </w:rPr>
              <m:t xml:space="preserve">k</m:t>
            </m:r>
          </m:e>
        </m:d>
      </m:oMath>
      <w:r>
        <w:rPr>
          <w:rFonts w:eastAsia="Times New Roman"/>
          <w:sz w:val="22"/>
          <w:szCs w:val="22"/>
          <w:lang w:val="ru-RU"/>
        </w:rPr>
        <w:t xml:space="preserve"> – (34 признака) для МЧКК в матрице </w:t>
      </w:r>
      <w:r>
        <w:rPr/>
      </w:r>
      <m:oMath xmlns:m="http://schemas.openxmlformats.org/officeDocument/2006/math">
        <m:r>
          <w:rPr>
            <w:rFonts w:ascii="Cambria Math" w:hAnsi="Cambria Math"/>
          </w:rPr>
          <m:t xml:space="preserve">MFCC</m:t>
        </m:r>
      </m:oMath>
      <w:r>
        <w:rPr>
          <w:rFonts w:eastAsia="Times New Roman"/>
          <w:sz w:val="22"/>
          <w:szCs w:val="22"/>
          <w:lang w:val="ru-RU"/>
        </w:rPr>
        <w:t xml:space="preserve"> вдоль оси времени. СКО может быть полезно для оценки степени изменчивости в МЧКК во времени.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По матрице МЧКК также производится извлечение первой и второй производных (первой и второй разности). Ниже поясняется смысл, который несет данная операция.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МЧКК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представляет собой скорость изменения каждого коэффициента во времени. Таким образом,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отражает быстроту изменения спектральных характеристик звука во времени. </w:t>
      </w:r>
      <w:r>
        <w:rPr/>
      </w:r>
      <m:oMath xmlns:m="http://schemas.openxmlformats.org/officeDocument/2006/math">
        <m:r>
          <w:rPr>
            <w:rFonts w:ascii="Cambria Math" w:hAnsi="Cambria Math"/>
          </w:rPr>
          <m:t xml:space="preserve">Δ</m:t>
        </m:r>
      </m:oMath>
      <w:r>
        <w:rPr>
          <w:rFonts w:eastAsia="Times New Roman"/>
          <w:sz w:val="22"/>
          <w:szCs w:val="22"/>
          <w:lang w:val="ru-RU"/>
        </w:rPr>
        <w:t>-МЧКК могут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МЧКК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 xml:space="preserve">-МЧКК) представляет собой ускорение изменения каждого коэффициента во времени. Принятие во внимание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-МЧКК позволяет более полно описать характер спектральных изменений речевого сигнала во времени.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Известно, что применение производных МЧКК позволяет улучшить производительность систем распознавания, классификации и детектирования речевых сигналов</w:t>
      </w:r>
      <w:r>
        <w:rPr>
          <w:rFonts w:eastAsia="Times New Roman"/>
          <w:sz w:val="22"/>
          <w:szCs w:val="22"/>
          <w:lang w:val="en-US"/>
        </w:rPr>
        <w:t> </w:t>
      </w:r>
      <w:r>
        <w:rPr>
          <w:rFonts w:eastAsia="Times New Roman"/>
          <w:sz w:val="22"/>
          <w:szCs w:val="22"/>
          <w:lang w:val="ru-RU"/>
        </w:rPr>
        <w:t>[</w:t>
      </w:r>
      <w:r>
        <w:rPr>
          <w:rFonts w:eastAsia="Times New Roman"/>
          <w:sz w:val="22"/>
          <w:szCs w:val="22"/>
          <w:shd w:fill="auto" w:val="clear"/>
          <w:lang w:val="ru-RU"/>
        </w:rPr>
        <w:t>1, 5</w:t>
      </w:r>
      <w:r>
        <w:rPr>
          <w:rFonts w:eastAsia="Times New Roman"/>
          <w:sz w:val="22"/>
          <w:szCs w:val="22"/>
          <w:lang w:val="ru-RU"/>
        </w:rPr>
        <w:t>].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pPr>
        <w:pStyle w:val="Normal"/>
        <w:shd w:val="clear" w:color="auto" w:fill="FFFFFF"/>
        <w:ind w:firstLine="709"/>
        <w:jc w:val="both"/>
        <w:rPr>
          <w:rFonts w:eastAsia="Times New Roman"/>
          <w:i/>
          <w:i/>
          <w:sz w:val="22"/>
          <w:szCs w:val="22"/>
          <w:lang w:val="ru-RU"/>
        </w:rPr>
      </w:pPr>
      <w:r>
        <w:rPr>
          <w:rFonts w:eastAsia="Times New Roman"/>
          <w:sz w:val="22"/>
          <w:szCs w:val="22"/>
          <w:lang w:val="ru-RU"/>
        </w:rPr>
        <w:t xml:space="preserve">Для полученных матриц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и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 xml:space="preserve">-МЧКК рассчитываются их средние значения и СКО, что в итоге дает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136</m:t>
        </m:r>
      </m:oMath>
      <w:r>
        <w:rPr>
          <w:rFonts w:eastAsia="Times New Roman"/>
          <w:sz w:val="22"/>
          <w:szCs w:val="22"/>
          <w:lang w:val="ru-RU"/>
        </w:rPr>
        <w:t xml:space="preserve"> дополнительных признаков.</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МЧКК также были рассчитаны коэффициент асимметрии,  эксцесс </w:t>
      </w:r>
      <w:r>
        <w:rPr>
          <w:rFonts w:eastAsia="Times New Roman"/>
          <w:sz w:val="22"/>
          <w:szCs w:val="22"/>
          <w:lang w:val="ru-RU"/>
        </w:rPr>
        <w:t>и межквантильный размах.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Коэффициент асимметрии (</w:t>
      </w:r>
      <w:r>
        <w:rPr>
          <w:rStyle w:val="Emphasis"/>
          <w:lang w:val="ru-RU"/>
        </w:rPr>
        <w:t>s</w:t>
      </w:r>
      <w:r>
        <w:rPr>
          <w:rStyle w:val="Emphasis"/>
        </w:rPr>
        <w:t>kewness</w:t>
      </w:r>
      <w:r>
        <w:rPr>
          <w:rFonts w:eastAsia="Times New Roman"/>
          <w:sz w:val="22"/>
          <w:szCs w:val="22"/>
          <w:lang w:val="ru-RU"/>
        </w:rPr>
        <w:t>) – 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работе для вычислялся коэффициент асимметрии для каждого МЧКК:</w:t>
      </w:r>
    </w:p>
    <w:p>
      <w:pPr>
        <w:pStyle w:val="Normal"/>
        <w:shd w:val="clear" w:color="auto" w:fill="FFFFFF"/>
        <w:ind w:firstLine="709"/>
        <w:jc w:val="center"/>
        <w:rPr>
          <w:rFonts w:eastAsia="Times New Roman"/>
          <w:sz w:val="22"/>
          <w:szCs w:val="22"/>
          <w:lang w:val="ru-RU"/>
        </w:rPr>
      </w:pPr>
      <w:r>
        <w:rPr/>
      </w:r>
      <m:oMathPara xmlns:m="http://schemas.openxmlformats.org/officeDocument/2006/math">
        <m:oMathParaPr>
          <m:jc m:val="center"/>
        </m:oMathParaPr>
        <m:oMath>
          <m:r>
            <w:rPr>
              <w:rFonts w:ascii="Cambria Math" w:hAnsi="Cambria Math"/>
            </w:rPr>
            <m:t xml:space="preserve">SkMFCC</m:t>
          </m:r>
          <m:d>
            <m:dPr>
              <m:begChr m:val="("/>
              <m:endChr m:val=")"/>
            </m:dPr>
            <m:e>
              <m:r>
                <w:rPr>
                  <w:rFonts w:ascii="Cambria Math" w:hAnsi="Cambria Math"/>
                </w:rPr>
                <m:t xml:space="preserve">k</m:t>
              </m:r>
            </m:e>
          </m:d>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frames</m:t>
                      </m:r>
                    </m:sub>
                  </m:sSub>
                </m:den>
              </m:f>
            </m:e>
          </m:d>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frames</m:t>
                  </m:r>
                </m:sub>
              </m:sSub>
            </m:sup>
            <m:e>
              <m:f>
                <m:num>
                  <m:sSup>
                    <m:e>
                      <m:d>
                        <m:dPr>
                          <m:begChr m:val="("/>
                          <m:endChr m:val=")"/>
                        </m:dPr>
                        <m:e>
                          <m:r>
                            <w:rPr>
                              <w:rFonts w:ascii="Cambria Math" w:hAnsi="Cambria Math"/>
                            </w:rPr>
                            <m:t xml:space="preserve">MFCC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meanMFCC</m:t>
                          </m:r>
                          <m:d>
                            <m:dPr>
                              <m:begChr m:val="("/>
                              <m:endChr m:val=")"/>
                            </m:dPr>
                            <m:e>
                              <m:r>
                                <w:rPr>
                                  <w:rFonts w:ascii="Cambria Math" w:hAnsi="Cambria Math"/>
                                </w:rPr>
                                <m:t xml:space="preserve">k</m:t>
                              </m:r>
                            </m:e>
                          </m:d>
                        </m:e>
                      </m:d>
                    </m:e>
                    <m:sup>
                      <m:r>
                        <w:rPr>
                          <w:rFonts w:ascii="Cambria Math" w:hAnsi="Cambria Math"/>
                        </w:rPr>
                        <m:t xml:space="preserve">3</m:t>
                      </m:r>
                    </m:sup>
                  </m:sSup>
                </m:num>
                <m:den>
                  <m:sSup>
                    <m:e>
                      <m:r>
                        <w:rPr>
                          <w:rFonts w:ascii="Cambria Math" w:hAnsi="Cambria Math"/>
                        </w:rPr>
                        <m:t xml:space="preserve">SDMFCC</m:t>
                      </m:r>
                      <m:d>
                        <m:dPr>
                          <m:begChr m:val="("/>
                          <m:endChr m:val=")"/>
                        </m:dPr>
                        <m:e>
                          <m:r>
                            <w:rPr>
                              <w:rFonts w:ascii="Cambria Math" w:hAnsi="Cambria Math"/>
                            </w:rPr>
                            <m:t xml:space="preserve">k</m:t>
                          </m:r>
                        </m:e>
                      </m:d>
                    </m:e>
                    <m:sup>
                      <m:r>
                        <w:rPr>
                          <w:rFonts w:ascii="Cambria Math" w:hAnsi="Cambria Math"/>
                        </w:rPr>
                        <m:t xml:space="preserve">3</m:t>
                      </m:r>
                    </m:sup>
                  </m:sSup>
                </m:den>
              </m:f>
            </m:e>
          </m:nary>
        </m:oMath>
      </m:oMathPara>
    </w:p>
    <w:p>
      <w:pPr>
        <w:pStyle w:val="Normal"/>
        <w:shd w:val="clear" w:color="auto" w:fill="FFFFFF"/>
        <w:ind w:firstLine="709"/>
        <w:jc w:val="both"/>
        <w:rPr>
          <w:rFonts w:eastAsia="Times New Roman"/>
          <w:sz w:val="22"/>
          <w:szCs w:val="22"/>
          <w:lang w:val="ru-RU"/>
        </w:rPr>
      </w:pPr>
      <w:r>
        <w:rPr>
          <w:rFonts w:eastAsia="Times New Roman"/>
          <w:sz w:val="22"/>
          <w:szCs w:val="22"/>
          <w:lang w:val="ru-RU"/>
        </w:rPr>
        <w:t>В контексте анализа МЧКК коэффициент асимметрии может дать информацию о форме распределения и подчеркнуть определенные аспекты вариабельности звукового сигнала.</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Эксцесс (</w:t>
      </w:r>
      <w:r>
        <w:rPr>
          <w:rStyle w:val="Emphasis"/>
        </w:rPr>
        <w:t>k</w:t>
      </w:r>
      <w:r>
        <w:rPr>
          <w:rStyle w:val="Emphasis"/>
          <w:lang w:val="ru-RU"/>
        </w:rPr>
        <w:t>urtosis</w:t>
      </w:r>
      <w:r>
        <w:rPr>
          <w:rFonts w:eastAsia="Times New Roman"/>
          <w:sz w:val="22"/>
          <w:szCs w:val="22"/>
          <w:lang w:val="ru-RU"/>
        </w:rPr>
        <w:t>) – 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pPr>
        <w:pStyle w:val="Normal"/>
        <w:shd w:val="clear" w:color="auto" w:fill="FFFFFF"/>
        <w:ind w:firstLine="709"/>
        <w:jc w:val="both"/>
        <w:rPr>
          <w:sz w:val="22"/>
          <w:szCs w:val="22"/>
        </w:rPr>
      </w:pPr>
      <w:r>
        <w:rPr>
          <w:sz w:val="22"/>
          <w:szCs w:val="22"/>
        </w:rPr>
        <w:t>Существуют несколько разных способов вычислить эксцесс, но самым распространенным является формула моментов:</w:t>
      </w:r>
    </w:p>
    <w:p>
      <w:pPr>
        <w:pStyle w:val="Normal"/>
        <w:shd w:val="clear" w:color="auto" w:fill="FFFFFF"/>
        <w:ind w:firstLine="709"/>
        <w:jc w:val="center"/>
        <w:rPr/>
      </w:pPr>
      <w:r>
        <w:rPr/>
      </w:r>
      <m:oMathPara xmlns:m="http://schemas.openxmlformats.org/officeDocument/2006/math">
        <m:oMathParaPr>
          <m:jc m:val="center"/>
        </m:oMathParaPr>
        <m:oMath>
          <m:r>
            <w:rPr>
              <w:rFonts w:ascii="Cambria Math" w:hAnsi="Cambria Math"/>
            </w:rPr>
            <m:t xml:space="preserve">kurtosisMFCC</m:t>
          </m:r>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frames</m:t>
                      </m:r>
                    </m:sub>
                  </m:sSub>
                </m:den>
              </m:f>
            </m:e>
          </m:d>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frames</m:t>
                  </m:r>
                </m:sub>
              </m:sSub>
            </m:sup>
            <m:e>
              <m:f>
                <m:num>
                  <m:sSup>
                    <m:e>
                      <m:d>
                        <m:dPr>
                          <m:begChr m:val="("/>
                          <m:endChr m:val=")"/>
                        </m:dPr>
                        <m:e>
                          <m:r>
                            <w:rPr>
                              <w:rFonts w:ascii="Cambria Math" w:hAnsi="Cambria Math"/>
                            </w:rPr>
                            <m:t xml:space="preserve">MFCC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meanMFCC</m:t>
                          </m:r>
                          <m:d>
                            <m:dPr>
                              <m:begChr m:val="("/>
                              <m:endChr m:val=")"/>
                            </m:dPr>
                            <m:e>
                              <m:r>
                                <w:rPr>
                                  <w:rFonts w:ascii="Cambria Math" w:hAnsi="Cambria Math"/>
                                </w:rPr>
                                <m:t xml:space="preserve">k</m:t>
                              </m:r>
                            </m:e>
                          </m:d>
                        </m:e>
                      </m:d>
                    </m:e>
                    <m:sup>
                      <m:r>
                        <w:rPr>
                          <w:rFonts w:ascii="Cambria Math" w:hAnsi="Cambria Math"/>
                        </w:rPr>
                        <m:t xml:space="preserve">4</m:t>
                      </m:r>
                    </m:sup>
                  </m:sSup>
                </m:num>
                <m:den>
                  <m:sSup>
                    <m:e>
                      <m:r>
                        <w:rPr>
                          <w:rFonts w:ascii="Cambria Math" w:hAnsi="Cambria Math"/>
                        </w:rPr>
                        <m:t xml:space="preserve">SDMFCC</m:t>
                      </m:r>
                      <m:d>
                        <m:dPr>
                          <m:begChr m:val="("/>
                          <m:endChr m:val=")"/>
                        </m:dPr>
                        <m:e>
                          <m:r>
                            <w:rPr>
                              <w:rFonts w:ascii="Cambria Math" w:hAnsi="Cambria Math"/>
                            </w:rPr>
                            <m:t xml:space="preserve">k</m:t>
                          </m:r>
                        </m:e>
                      </m:d>
                    </m:e>
                    <m:sup>
                      <m:r>
                        <w:rPr>
                          <w:rFonts w:ascii="Cambria Math" w:hAnsi="Cambria Math"/>
                        </w:rPr>
                        <m:t xml:space="preserve">4</m:t>
                      </m:r>
                    </m:sup>
                  </m:sSup>
                  <m:r>
                    <w:rPr>
                      <w:rFonts w:ascii="Cambria Math" w:hAnsi="Cambria Math"/>
                    </w:rPr>
                    <m:t xml:space="preserve">−</m:t>
                  </m:r>
                  <m:r>
                    <w:rPr>
                      <w:rFonts w:ascii="Cambria Math" w:hAnsi="Cambria Math"/>
                    </w:rPr>
                    <m:t xml:space="preserve">4</m:t>
                  </m:r>
                </m:den>
              </m:f>
            </m:e>
          </m:nary>
        </m:oMath>
      </m:oMathPara>
    </w:p>
    <w:p>
      <w:pPr>
        <w:pStyle w:val="Normal"/>
        <w:shd w:val="clear" w:color="auto" w:fill="FFFFFF"/>
        <w:ind w:firstLine="709"/>
        <w:jc w:val="both"/>
        <w:rPr>
          <w:rFonts w:eastAsia="Times New Roman"/>
          <w:sz w:val="22"/>
          <w:szCs w:val="22"/>
          <w:lang w:val="ru-RU"/>
        </w:rPr>
      </w:pPr>
      <w:r>
        <w:rPr>
          <w:rFonts w:eastAsia="Times New Roman"/>
          <w:sz w:val="22"/>
          <w:szCs w:val="22"/>
          <w:lang w:val="ru-RU"/>
        </w:rPr>
        <w:t>Значение эксцесса позволяет 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w:t>
      </w:r>
      <w:r>
        <w:rPr>
          <w:rFonts w:eastAsia="Times New Roman"/>
          <w:sz w:val="22"/>
          <w:szCs w:val="22"/>
          <w:lang w:val="ru-RU"/>
        </w:rPr>
        <w:t xml:space="preserve"> контексте задач распознавания эмоций в речи </w:t>
      </w:r>
      <w:r>
        <w:rPr>
          <w:rFonts w:eastAsia="Times New Roman"/>
          <w:sz w:val="22"/>
          <w:szCs w:val="22"/>
          <w:lang w:val="ru-RU"/>
        </w:rPr>
        <w:t>р</w:t>
      </w:r>
      <w:r>
        <w:rPr>
          <w:rFonts w:eastAsia="Times New Roman"/>
          <w:sz w:val="22"/>
          <w:szCs w:val="22"/>
          <w:lang w:val="ru-RU"/>
        </w:rPr>
        <w:t xml:space="preserve">асчет эксцесса для МЧКК </w:t>
      </w:r>
      <w:r>
        <w:rPr>
          <w:rFonts w:eastAsia="Times New Roman"/>
          <w:sz w:val="22"/>
          <w:szCs w:val="22"/>
          <w:lang w:val="ru-RU"/>
        </w:rPr>
        <w:t>может помочь определить остроту интонации (острый и высокий пик распределения может отражать более выраженные и четкие интонации), характер изменчивости интонации, а также аномалии (высокий или низкий эксцесс может служить индикатором аномальных эмоциональных состояний, отличающихся от нормального распределения).</w:t>
      </w:r>
    </w:p>
    <w:p>
      <w:pPr>
        <w:pStyle w:val="Normal"/>
        <w:shd w:val="clear" w:color="auto" w:fill="FFFFFF"/>
        <w:ind w:firstLine="709"/>
        <w:jc w:val="both"/>
        <w:rPr/>
      </w:pPr>
      <w:r>
        <w:rPr>
          <w:rFonts w:eastAsia="Times New Roman"/>
          <w:b w:val="false"/>
          <w:bCs w:val="false"/>
          <w:sz w:val="22"/>
          <w:szCs w:val="22"/>
          <w:lang w:val="ru-RU"/>
        </w:rPr>
        <w:t>Межквантильный</w:t>
      </w:r>
      <w:r>
        <w:rPr>
          <w:rFonts w:eastAsia="Times New Roman"/>
          <w:b w:val="false"/>
          <w:bCs w:val="false"/>
          <w:sz w:val="22"/>
          <w:szCs w:val="22"/>
          <w:lang w:val="en-US"/>
        </w:rPr>
        <w:t xml:space="preserve"> </w:t>
      </w:r>
      <w:r>
        <w:rPr>
          <w:rFonts w:eastAsia="Times New Roman"/>
          <w:b w:val="false"/>
          <w:bCs w:val="false"/>
          <w:sz w:val="22"/>
          <w:szCs w:val="22"/>
          <w:lang w:val="ru-RU"/>
        </w:rPr>
        <w:t xml:space="preserve">размах </w:t>
      </w:r>
      <w:r>
        <w:rPr>
          <w:rFonts w:eastAsia="Times New Roman"/>
          <w:b w:val="false"/>
          <w:bCs w:val="false"/>
          <w:sz w:val="22"/>
          <w:szCs w:val="22"/>
          <w:lang w:val="ru-RU"/>
        </w:rPr>
        <w:t>(</w:t>
      </w:r>
      <w:r>
        <w:rPr>
          <w:rFonts w:eastAsia="Times New Roman"/>
          <w:b w:val="false"/>
          <w:bCs w:val="false"/>
          <w:i/>
          <w:iCs/>
          <w:sz w:val="22"/>
          <w:szCs w:val="22"/>
          <w:lang w:val="en-US"/>
        </w:rPr>
        <w:t>Interquartile Range (IQR)</w:t>
      </w:r>
      <w:r>
        <w:rPr>
          <w:rFonts w:eastAsia="Times New Roman"/>
          <w:b w:val="false"/>
          <w:bCs w:val="false"/>
          <w:sz w:val="22"/>
          <w:szCs w:val="22"/>
          <w:lang w:val="en-US"/>
        </w:rPr>
        <w:t xml:space="preserve">) </w:t>
      </w:r>
      <w:r>
        <w:rPr>
          <w:rFonts w:eastAsia="Times New Roman"/>
          <w:b w:val="false"/>
          <w:bCs w:val="false"/>
          <w:sz w:val="22"/>
          <w:szCs w:val="22"/>
          <w:lang w:val="ru-RU"/>
        </w:rPr>
        <w:t>–</w:t>
      </w:r>
      <w:r>
        <w:rPr>
          <w:rFonts w:eastAsia="Times New Roman"/>
          <w:b w:val="false"/>
          <w:bCs w:val="false"/>
          <w:sz w:val="22"/>
          <w:szCs w:val="22"/>
          <w:lang w:val="en-US"/>
        </w:rPr>
        <w:t xml:space="preserve"> э</w:t>
      </w:r>
      <w:r>
        <w:rPr>
          <w:rFonts w:eastAsia="Times New Roman"/>
          <w:sz w:val="22"/>
          <w:szCs w:val="22"/>
          <w:lang w:val="ru-RU"/>
        </w:rPr>
        <w:t>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данных.Для вычисления IQR, нужно выполнить следующие шаги: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Найдите значение третьего квартиля (Q3), которое разделяет нижние 75% наблюдений от верхних 25% наблюдений.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г) Вычислите IQR, как разницу между значениями Q3 и Q1:</w:t>
      </w:r>
    </w:p>
    <w:p>
      <w:pPr>
        <w:pStyle w:val="Normal"/>
        <w:shd w:val="clear" w:color="auto" w:fill="FFFFFF"/>
        <w:ind w:firstLine="709"/>
        <w:jc w:val="both"/>
        <w:rPr>
          <w:rFonts w:eastAsia="Times New Roman"/>
          <w:sz w:val="22"/>
          <w:szCs w:val="22"/>
          <w:lang w:val="ru-RU"/>
        </w:rPr>
      </w:pPr>
      <w:r>
        <w:rPr/>
      </w:r>
    </w:p>
    <w:p>
      <w:pPr>
        <w:pStyle w:val="Normal"/>
        <w:shd w:val="clear" w:color="auto" w:fill="FFFFFF"/>
        <w:ind w:firstLine="709"/>
        <w:jc w:val="center"/>
        <w:rPr>
          <w:sz w:val="22"/>
          <w:szCs w:val="22"/>
        </w:rPr>
      </w:pPr>
      <w:r>
        <w:rPr>
          <w:sz w:val="22"/>
          <w:szCs w:val="22"/>
        </w:rPr>
      </w:r>
      <m:oMathPara xmlns:m="http://schemas.openxmlformats.org/officeDocument/2006/math">
        <m:oMathParaPr>
          <m:jc m:val="center"/>
        </m:oMathParaPr>
        <m:oMath>
          <m:r>
            <w:rPr>
              <w:rFonts w:ascii="Cambria Math" w:hAnsi="Cambria Math"/>
            </w:rPr>
            <m:t xml:space="preserve">iqrMFCC</m:t>
          </m:r>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1</m:t>
                  </m:r>
                </m:sub>
              </m:sSub>
            </m:e>
          </m:d>
        </m:oMath>
      </m:oMathPara>
    </w:p>
    <w:p>
      <w:pPr>
        <w:pStyle w:val="Normal"/>
        <w:shd w:val="clear" w:color="auto" w:fill="FFFFFF"/>
        <w:ind w:firstLine="709"/>
        <w:jc w:val="center"/>
        <w:rPr/>
      </w:pPr>
      <w:r>
        <w:rPr/>
      </w:r>
    </w:p>
    <w:p>
      <w:pPr>
        <w:pStyle w:val="Normal"/>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пределами интервала Q</w:t>
      </w:r>
      <w:r>
        <w:rPr>
          <w:rFonts w:eastAsia="Times New Roman"/>
          <w:sz w:val="22"/>
          <w:szCs w:val="22"/>
          <w:vertAlign w:val="subscript"/>
          <w:lang w:val="ru-RU"/>
        </w:rPr>
        <w:t>1</w:t>
      </w:r>
      <w:r>
        <w:rPr>
          <w:rFonts w:eastAsia="Times New Roman"/>
          <w:sz w:val="22"/>
          <w:szCs w:val="22"/>
          <w:lang w:val="ru-RU"/>
        </w:rPr>
        <w:t xml:space="preserve"> - 1,5  IQR и Q</w:t>
      </w:r>
      <w:r>
        <w:rPr>
          <w:rFonts w:eastAsia="Times New Roman"/>
          <w:sz w:val="22"/>
          <w:szCs w:val="22"/>
          <w:vertAlign w:val="subscript"/>
          <w:lang w:val="ru-RU"/>
        </w:rPr>
        <w:t>3</w:t>
      </w:r>
      <w:r>
        <w:rPr>
          <w:rFonts w:eastAsia="Times New Roman"/>
          <w:sz w:val="22"/>
          <w:szCs w:val="22"/>
          <w:lang w:val="ru-RU"/>
        </w:rPr>
        <w:t xml:space="preserve"> + 1,5  IQR.</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задач распознавания эмоций в речи IQR может быть полезен </w:t>
      </w:r>
      <w:r>
        <w:rPr>
          <w:rFonts w:eastAsia="Times New Roman"/>
          <w:sz w:val="22"/>
          <w:szCs w:val="22"/>
          <w:lang w:val="ru-RU"/>
        </w:rPr>
        <w:t>для измерения дисперсии в интонациях (большой IQR может свидетельствовать о более разнообразных и динамичных интонациях), обнаружения изменчивости в интонациях, а также выраженных пиков и хвостов в распределении (может быть связано с определенными эмоциональными состояниями).</w:t>
      </w:r>
    </w:p>
    <w:p>
      <w:pPr>
        <w:pStyle w:val="Normal"/>
        <w:shd w:val="clear" w:color="auto" w:fill="FFFFFF"/>
        <w:ind w:firstLine="709"/>
        <w:jc w:val="both"/>
        <w:rPr/>
      </w:pPr>
      <w:r>
        <w:rPr>
          <w:rFonts w:eastAsia="Times New Roman"/>
          <w:sz w:val="22"/>
          <w:szCs w:val="22"/>
          <w:lang w:val="ru-RU"/>
        </w:rPr>
        <w:t xml:space="preserve">В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 * 34 признака), их среднеквадратическое отклонение (2 * 34), а также коэффициент асимметрии, эксцесс и межквантильный размах (по 34 признака для каждой метрики соотвественно). Таким образом, для каждого аудиофайла мы получаем </w:t>
      </w:r>
      <w:r>
        <w:rPr>
          <w:rFonts w:eastAsia="Times New Roman"/>
          <w:b/>
          <w:bCs/>
          <w:sz w:val="22"/>
          <w:szCs w:val="22"/>
          <w:lang w:val="ru-RU"/>
        </w:rPr>
        <w:t>306-компонентный вектор супрасегментных признаков MFCC.</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pPr>
        <w:pStyle w:val="Normal"/>
        <w:ind w:firstLine="567"/>
        <w:jc w:val="both"/>
        <w:rPr>
          <w:sz w:val="22"/>
          <w:szCs w:val="22"/>
        </w:rPr>
      </w:pPr>
      <w:r>
        <w:rPr>
          <w:color w:themeColor="text1" w:val="000000"/>
          <w:sz w:val="22"/>
          <w:szCs w:val="22"/>
        </w:rPr>
        <w:t xml:space="preserve">При проведении исследования в качестве исходного набора данных использовался Ryerson Audio-Visual Database of Emotional Speech and Song (RAVDESS) [10]. </w:t>
      </w:r>
      <w:r>
        <w:rPr>
          <w:color w:val="000000"/>
          <w:sz w:val="22"/>
          <w:szCs w:val="22"/>
        </w:rPr>
        <w:t xml:space="preserve"> </w:t>
      </w:r>
      <w:r>
        <w:rPr>
          <w:color w:themeColor="text1" w:val="000000"/>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themeColor="text1" w:val="000000"/>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shd w:val="clear" w:color="auto" w:fill="FFFFFF"/>
        <w:ind w:firstLine="709"/>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rPr>
      </w:pPr>
      <w:r>
        <w:rPr>
          <w:rFonts w:eastAsia="Times New Roman"/>
          <w:b/>
          <w:bCs/>
          <w:sz w:val="22"/>
          <w:szCs w:val="22"/>
          <w:lang w:val="ru-RU"/>
        </w:rPr>
        <w:t>Подход к описанию эксперимента</w:t>
      </w:r>
    </w:p>
    <w:p>
      <w:pPr>
        <w:pStyle w:val="Normal"/>
        <w:shd w:val="clear" w:color="auto" w:fill="FFFFFF"/>
        <w:ind w:firstLine="709"/>
        <w:jc w:val="both"/>
        <w:rPr>
          <w:rFonts w:eastAsia="Times New Roman"/>
          <w:i/>
          <w:i/>
          <w:sz w:val="22"/>
          <w:szCs w:val="22"/>
          <w:lang w:val="ru-RU"/>
        </w:rPr>
      </w:pPr>
      <w:r>
        <w:rPr>
          <w:rFonts w:eastAsia="Times New Roman"/>
          <w:i/>
          <w:sz w:val="22"/>
          <w:szCs w:val="22"/>
          <w:lang w:val="ru-RU"/>
        </w:rPr>
      </w:r>
    </w:p>
    <w:p>
      <w:pPr>
        <w:pStyle w:val="Style16"/>
        <w:spacing w:lineRule="auto" w:line="240"/>
        <w:ind w:firstLine="680" w:left="0"/>
        <w:rPr>
          <w:sz w:val="22"/>
          <w:szCs w:val="22"/>
        </w:rPr>
      </w:pPr>
      <w:r>
        <w:rPr>
          <w:color w:themeColor="text1" w:val="000000"/>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themeColor="text1" w:val="000000"/>
          <w:sz w:val="22"/>
          <w:szCs w:val="22"/>
        </w:rPr>
        <w:t>метод опорных векторов (МОВ)</w:t>
      </w:r>
      <w:r>
        <w:rPr>
          <w:color w:themeColor="text1" w:val="000000"/>
          <w:sz w:val="22"/>
          <w:szCs w:val="22"/>
        </w:rPr>
        <w:t>.</w:t>
      </w:r>
    </w:p>
    <w:p>
      <w:pPr>
        <w:pStyle w:val="Style16"/>
        <w:spacing w:lineRule="auto" w:line="240"/>
        <w:ind w:firstLine="680" w:left="0"/>
        <w:rPr>
          <w:sz w:val="22"/>
          <w:szCs w:val="22"/>
        </w:rPr>
      </w:pPr>
      <w:r>
        <w:rPr>
          <w:color w:themeColor="text1" w:val="000000"/>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pPr>
        <w:pStyle w:val="Style16"/>
        <w:spacing w:lineRule="auto" w:line="240"/>
        <w:ind w:firstLine="680" w:left="0"/>
        <w:rPr>
          <w:color w:themeColor="text1" w:val="000000"/>
          <w:sz w:val="22"/>
          <w:szCs w:val="22"/>
        </w:rPr>
      </w:pPr>
      <w:r>
        <w:rPr>
          <w:color w:themeColor="text1" w:val="000000"/>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color w:themeColor="text1" w:val="000000"/>
          <w:sz w:val="22"/>
          <w:szCs w:val="22"/>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color w:themeColor="text1" w:val="000000"/>
          <w:sz w:val="22"/>
          <w:szCs w:val="22"/>
        </w:rPr>
        <w:t xml:space="preserve">, где </w:t>
      </w:r>
      <w:r>
        <w:rPr/>
      </w:r>
      <m:oMath xmlns:m="http://schemas.openxmlformats.org/officeDocument/2006/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j</m:t>
                    </m:r>
                  </m:sub>
                </m:sSub>
              </m:e>
            </m:d>
          </m:e>
        </m:d>
      </m:oMath>
      <w:r>
        <w:rPr>
          <w:color w:themeColor="text1" w:val="000000"/>
          <w:sz w:val="22"/>
          <w:szCs w:val="22"/>
        </w:rPr>
        <w:t>, характеризующих меру их близости</w:t>
      </w:r>
      <w:r>
        <w:rPr>
          <w:color w:themeColor="text1" w:val="000000"/>
          <w:sz w:val="22"/>
          <w:szCs w:val="22"/>
          <w:lang w:val="ru-RU"/>
        </w:rPr>
        <w:t>,</w:t>
      </w:r>
      <w:r>
        <w:rPr>
          <w:color w:themeColor="text1" w:val="000000"/>
          <w:sz w:val="22"/>
          <w:szCs w:val="22"/>
        </w:rPr>
        <w:t xml:space="preserve"> </w:t>
      </w:r>
      <w:r>
        <w:rPr>
          <w:color w:themeColor="text1" w:val="000000"/>
          <w:sz w:val="22"/>
          <w:szCs w:val="22"/>
          <w:lang w:val="ru-RU"/>
        </w:rPr>
        <w:t>а</w:t>
      </w:r>
      <w:r>
        <w:rPr>
          <w:color w:themeColor="text1" w:val="000000"/>
          <w:sz w:val="22"/>
          <w:szCs w:val="22"/>
        </w:rPr>
        <w:t xml:space="preserve"> </w:t>
      </w:r>
      <w:r>
        <w:rPr/>
      </w:r>
      <m:oMath xmlns:m="http://schemas.openxmlformats.org/officeDocument/2006/math">
        <m:r>
          <w:rPr>
            <w:rFonts w:ascii="Cambria Math" w:hAnsi="Cambria Math"/>
          </w:rPr>
          <m:t xml:space="preserve">ϕ</m:t>
        </m:r>
      </m:oMath>
      <w:r>
        <w:rPr>
          <w:color w:themeColor="text1" w:val="000000"/>
          <w:sz w:val="22"/>
          <w:szCs w:val="22"/>
        </w:rPr>
        <w:t xml:space="preserve"> является произвольной преобразующей функцией, формирующее ядро. В частности, примерами таких функций являются:</w:t>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линейное ядро:</w:t>
      </w:r>
    </w:p>
    <w:p>
      <w:pPr>
        <w:pStyle w:val="Style16"/>
        <w:spacing w:lineRule="auto" w:line="240"/>
        <w:ind w:firstLine="680" w:left="0"/>
        <w:jc w:val="center"/>
        <w:rPr>
          <w:sz w:val="22"/>
          <w:szCs w:val="22"/>
        </w:rPr>
      </w:pPr>
      <w:r>
        <w:rPr/>
      </w:r>
      <m:oMath xmlns:m="http://schemas.openxmlformats.org/officeDocument/2006/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oMath>
      <w:r>
        <w:rPr>
          <w:color w:val="000000"/>
          <w:sz w:val="22"/>
          <w:szCs w:val="22"/>
        </w:rPr>
        <w:t xml:space="preserve"> </w:t>
      </w:r>
    </w:p>
    <w:p>
      <w:pPr>
        <w:pStyle w:val="Style16"/>
        <w:spacing w:lineRule="auto" w:line="240"/>
        <w:ind w:firstLine="680" w:left="0"/>
        <w:jc w:val="left"/>
        <w:rPr>
          <w:sz w:val="22"/>
          <w:szCs w:val="22"/>
        </w:rPr>
      </w:pPr>
      <w:r>
        <w:rPr>
          <w:color w:themeColor="text1" w:val="000000"/>
          <w:sz w:val="22"/>
          <w:szCs w:val="22"/>
        </w:rPr>
        <w:t>что соответствует классификатору на опорных векторах в исходном пространстве</w:t>
      </w:r>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полиномиальное ядро со степенью p:</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j</m:t>
                      </m:r>
                    </m:sub>
                  </m:sSub>
                </m:e>
              </m:d>
            </m:e>
            <m:sup>
              <m:r>
                <w:rPr>
                  <w:rFonts w:ascii="Cambria Math" w:hAnsi="Cambria Math"/>
                </w:rPr>
                <m:t xml:space="preserve">p</m:t>
              </m:r>
            </m:sup>
          </m:sSup>
        </m:oMath>
      </m:oMathPara>
    </w:p>
    <w:p>
      <w:pPr>
        <w:pStyle w:val="Style16"/>
        <w:spacing w:lineRule="auto" w:line="240"/>
        <w:ind w:firstLine="680" w:left="0"/>
        <w:rPr>
          <w:sz w:val="22"/>
          <w:szCs w:val="22"/>
        </w:rPr>
      </w:pPr>
      <w:r>
        <w:rPr>
          <w:color w:themeColor="text1" w:val="000000"/>
          <w:sz w:val="22"/>
          <w:szCs w:val="22"/>
        </w:rPr>
        <w:t xml:space="preserve">- </w:t>
      </w:r>
      <w:r>
        <w:rPr>
          <w:b/>
          <w:bCs/>
          <w:color w:themeColor="text1" w:val="000000"/>
          <w:sz w:val="22"/>
          <w:szCs w:val="22"/>
        </w:rPr>
        <w:t>гауссово ядро с радиальной базовой функцией (RBF):</w:t>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K</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γ</m:t>
              </m:r>
              <m:s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e>
                  </m:d>
                </m:e>
                <m:sup>
                  <m:r>
                    <w:rPr>
                      <w:rFonts w:ascii="Cambria Math" w:hAnsi="Cambria Math"/>
                    </w:rPr>
                    <m:t xml:space="preserve">2</m:t>
                  </m:r>
                </m:sup>
              </m:sSup>
            </m:e>
          </m:d>
        </m:oMath>
      </m:oMathPara>
    </w:p>
    <w:p>
      <w:pPr>
        <w:pStyle w:val="Style16"/>
        <w:spacing w:lineRule="auto" w:line="240"/>
        <w:ind w:firstLine="680" w:left="0"/>
        <w:rPr>
          <w:sz w:val="22"/>
          <w:szCs w:val="22"/>
        </w:rPr>
      </w:pPr>
      <w:r>
        <w:rPr>
          <w:color w:themeColor="text1" w:val="000000"/>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pPr>
        <w:pStyle w:val="Style16"/>
        <w:spacing w:lineRule="auto" w:line="240"/>
        <w:ind w:firstLine="680" w:left="0"/>
        <w:rPr>
          <w:sz w:val="22"/>
          <w:szCs w:val="22"/>
        </w:rPr>
      </w:pPr>
      <w:r>
        <w:rPr>
          <w:color w:themeColor="text1" w:val="000000"/>
          <w:sz w:val="22"/>
          <w:szCs w:val="22"/>
        </w:rPr>
        <w:t>Для тренировки, тестирования и валидации модели использовался метод k-блочной кросс-валидация (</w:t>
      </w:r>
      <w:r>
        <w:rPr>
          <w:i/>
          <w:iCs/>
          <w:color w:themeColor="text1" w:val="000000"/>
          <w:sz w:val="22"/>
          <w:szCs w:val="22"/>
        </w:rPr>
        <w:t>k-fold cross-validation</w:t>
      </w:r>
      <w:r>
        <w:rPr>
          <w:color w:themeColor="text1" w:val="000000"/>
          <w:sz w:val="22"/>
          <w:szCs w:val="22"/>
        </w:rPr>
        <w:t>) [12].</w:t>
      </w:r>
    </w:p>
    <w:p>
      <w:pPr>
        <w:pStyle w:val="Style16"/>
        <w:spacing w:lineRule="auto" w:line="240"/>
        <w:ind w:firstLine="680" w:left="0"/>
        <w:rPr>
          <w:sz w:val="22"/>
          <w:szCs w:val="22"/>
        </w:rPr>
      </w:pPr>
      <w:r>
        <w:rPr>
          <w:sz w:val="22"/>
          <w:szCs w:val="22"/>
        </w:rPr>
        <w:t>Метод k-блочной кросс-валидации включает следующие действия:</w:t>
      </w:r>
    </w:p>
    <w:p>
      <w:pPr>
        <w:pStyle w:val="Style16"/>
        <w:spacing w:lineRule="auto" w:line="240"/>
        <w:ind w:firstLine="680" w:left="0"/>
        <w:rPr>
          <w:sz w:val="22"/>
          <w:szCs w:val="22"/>
        </w:rPr>
      </w:pPr>
      <w:r>
        <w:rPr>
          <w:sz w:val="22"/>
          <w:szCs w:val="22"/>
        </w:rPr>
        <w:t>1) Перемешать набор данных случайным (псевдо-случайным) образом;</w:t>
      </w:r>
    </w:p>
    <w:p>
      <w:pPr>
        <w:pStyle w:val="Style16"/>
        <w:spacing w:lineRule="auto" w:line="240"/>
        <w:ind w:firstLine="680" w:left="0"/>
        <w:rPr>
          <w:sz w:val="22"/>
          <w:szCs w:val="22"/>
        </w:rPr>
      </w:pPr>
      <w:r>
        <w:rPr>
          <w:sz w:val="22"/>
          <w:szCs w:val="22"/>
        </w:rPr>
        <w:t xml:space="preserve">2) Разделить набор на </w:t>
      </w:r>
      <w:r>
        <w:rPr>
          <w:i/>
          <w:iCs/>
          <w:sz w:val="22"/>
          <w:szCs w:val="22"/>
        </w:rPr>
        <w:t>k</w:t>
      </w:r>
      <w:r>
        <w:rPr>
          <w:sz w:val="22"/>
          <w:szCs w:val="22"/>
        </w:rPr>
        <w:t xml:space="preserve"> групп;</w:t>
      </w:r>
    </w:p>
    <w:p>
      <w:pPr>
        <w:pStyle w:val="Style16"/>
        <w:spacing w:lineRule="auto" w:line="240"/>
        <w:ind w:firstLine="680" w:left="0"/>
        <w:rPr>
          <w:sz w:val="22"/>
          <w:szCs w:val="22"/>
        </w:rPr>
      </w:pPr>
      <w:r>
        <w:rPr>
          <w:sz w:val="22"/>
          <w:szCs w:val="22"/>
        </w:rPr>
        <w:t>3) Для каждой уникальной группы:</w:t>
      </w:r>
    </w:p>
    <w:p>
      <w:pPr>
        <w:pStyle w:val="Style16"/>
        <w:spacing w:lineRule="auto" w:line="240"/>
        <w:ind w:firstLine="680" w:left="0"/>
        <w:rPr>
          <w:sz w:val="22"/>
          <w:szCs w:val="22"/>
        </w:rPr>
      </w:pPr>
      <w:r>
        <w:rPr>
          <w:sz w:val="22"/>
          <w:szCs w:val="22"/>
        </w:rPr>
        <w:t>- выделить группу записей в качестве тестовых данных (</w:t>
      </w:r>
      <w:r>
        <w:rPr>
          <w:i/>
          <w:iCs/>
          <w:sz w:val="22"/>
          <w:szCs w:val="22"/>
        </w:rPr>
        <w:t>test data</w:t>
      </w:r>
      <w:r>
        <w:rPr>
          <w:sz w:val="22"/>
          <w:szCs w:val="22"/>
        </w:rPr>
        <w:t>)</w:t>
      </w:r>
    </w:p>
    <w:p>
      <w:pPr>
        <w:pStyle w:val="Style16"/>
        <w:spacing w:lineRule="auto" w:line="240"/>
        <w:ind w:firstLine="680" w:left="0"/>
        <w:rPr>
          <w:sz w:val="22"/>
          <w:szCs w:val="22"/>
        </w:rPr>
      </w:pPr>
      <w:r>
        <w:rPr>
          <w:sz w:val="22"/>
          <w:szCs w:val="22"/>
        </w:rPr>
        <w:t>- взять оставшиеся группы в качестве тренировочных данных (</w:t>
      </w:r>
      <w:r>
        <w:rPr>
          <w:i/>
          <w:iCs/>
          <w:sz w:val="22"/>
          <w:szCs w:val="22"/>
        </w:rPr>
        <w:t>train data</w:t>
      </w:r>
      <w:r>
        <w:rPr>
          <w:sz w:val="22"/>
          <w:szCs w:val="22"/>
        </w:rPr>
        <w:t>)</w:t>
      </w:r>
    </w:p>
    <w:p>
      <w:pPr>
        <w:pStyle w:val="Style16"/>
        <w:spacing w:lineRule="auto" w:line="240"/>
        <w:ind w:firstLine="680" w:left="0"/>
        <w:rPr>
          <w:sz w:val="22"/>
          <w:szCs w:val="22"/>
        </w:rPr>
      </w:pPr>
      <w:r>
        <w:rPr>
          <w:sz w:val="22"/>
          <w:szCs w:val="22"/>
        </w:rPr>
        <w:t>- обучить модель на тренировочных и оценить ее эффективность на тестовых данных</w:t>
      </w:r>
    </w:p>
    <w:p>
      <w:pPr>
        <w:pStyle w:val="Style16"/>
        <w:spacing w:lineRule="auto" w:line="240"/>
        <w:ind w:firstLine="680" w:left="0"/>
        <w:rPr>
          <w:sz w:val="22"/>
          <w:szCs w:val="22"/>
        </w:rPr>
      </w:pPr>
      <w:r>
        <w:rPr>
          <w:sz w:val="22"/>
          <w:szCs w:val="22"/>
        </w:rPr>
        <w:t>- сохранить значение оценки и сбросить модель до исходного состояния для следующей итерации</w:t>
      </w:r>
    </w:p>
    <w:p>
      <w:pPr>
        <w:pStyle w:val="Style16"/>
        <w:spacing w:lineRule="auto" w:line="240"/>
        <w:ind w:firstLine="680" w:left="0"/>
        <w:rPr>
          <w:sz w:val="22"/>
          <w:szCs w:val="22"/>
        </w:rPr>
      </w:pPr>
      <w:r>
        <w:rPr>
          <w:sz w:val="22"/>
          <w:szCs w:val="22"/>
        </w:rPr>
        <w:t>- установить средний уровень навыка модели.</w:t>
      </w:r>
    </w:p>
    <w:p>
      <w:pPr>
        <w:pStyle w:val="Style16"/>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16"/>
        <w:spacing w:lineRule="auto" w:line="240"/>
        <w:ind w:firstLine="680" w:left="0"/>
        <w:rPr>
          <w:sz w:val="22"/>
          <w:szCs w:val="22"/>
        </w:rPr>
      </w:pPr>
      <w:r>
        <w:rPr>
          <w:sz w:val="22"/>
          <w:szCs w:val="22"/>
        </w:rPr>
        <w:t>- блок 0: (2, 5, 14, 15, 16)</w:t>
      </w:r>
    </w:p>
    <w:p>
      <w:pPr>
        <w:pStyle w:val="Style16"/>
        <w:spacing w:lineRule="auto" w:line="240"/>
        <w:ind w:firstLine="680" w:left="0"/>
        <w:rPr>
          <w:sz w:val="22"/>
          <w:szCs w:val="22"/>
        </w:rPr>
      </w:pPr>
      <w:r>
        <w:rPr>
          <w:sz w:val="22"/>
          <w:szCs w:val="22"/>
        </w:rPr>
        <w:t>- блок 1: (3, 6, 7, 13, 18)</w:t>
      </w:r>
    </w:p>
    <w:p>
      <w:pPr>
        <w:pStyle w:val="Style16"/>
        <w:spacing w:lineRule="auto" w:line="240"/>
        <w:ind w:firstLine="680" w:left="0"/>
        <w:rPr>
          <w:sz w:val="22"/>
          <w:szCs w:val="22"/>
        </w:rPr>
      </w:pPr>
      <w:r>
        <w:rPr>
          <w:sz w:val="22"/>
          <w:szCs w:val="22"/>
        </w:rPr>
        <w:t>- блок 2: (10, 11, 12, 19, 20)</w:t>
      </w:r>
    </w:p>
    <w:p>
      <w:pPr>
        <w:pStyle w:val="Style16"/>
        <w:spacing w:lineRule="auto" w:line="240"/>
        <w:ind w:firstLine="680" w:left="0"/>
        <w:rPr>
          <w:sz w:val="22"/>
          <w:szCs w:val="22"/>
        </w:rPr>
      </w:pPr>
      <w:r>
        <w:rPr>
          <w:sz w:val="22"/>
          <w:szCs w:val="22"/>
        </w:rPr>
        <w:t>- блок 3: (8, 17, 21, 23, 24)</w:t>
      </w:r>
    </w:p>
    <w:p>
      <w:pPr>
        <w:pStyle w:val="Style16"/>
        <w:spacing w:lineRule="auto" w:line="240"/>
        <w:ind w:firstLine="680" w:left="0"/>
        <w:rPr>
          <w:sz w:val="22"/>
          <w:szCs w:val="22"/>
        </w:rPr>
      </w:pPr>
      <w:r>
        <w:rPr>
          <w:sz w:val="22"/>
          <w:szCs w:val="22"/>
        </w:rPr>
        <w:t>- блок 4: (1, 4, 9, 22)</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color w:val="000000"/>
          <w:sz w:val="22"/>
          <w:szCs w:val="22"/>
        </w:rPr>
        <w:t xml:space="preserve">Такой порядок разбиения был предложен в работе </w:t>
      </w:r>
      <w:r>
        <w:rPr>
          <w:color w:val="000000"/>
          <w:sz w:val="22"/>
          <w:szCs w:val="22"/>
        </w:rPr>
        <w:t xml:space="preserve">по </w:t>
      </w:r>
      <w:r>
        <w:rPr>
          <w:color w:val="000000"/>
          <w:sz w:val="22"/>
          <w:szCs w:val="22"/>
        </w:rPr>
        <w:t xml:space="preserve">мультимодальному распознаванию эмоций на наборе данных RAVDESS с использованием трансферного обучения </w:t>
      </w:r>
      <w:r>
        <w:rPr>
          <w:color w:themeColor="text1" w:val="000000"/>
          <w:sz w:val="22"/>
          <w:szCs w:val="22"/>
        </w:rPr>
        <w:t>[13].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[13].</w:t>
      </w:r>
    </w:p>
    <w:p>
      <w:pPr>
        <w:pStyle w:val="Style16"/>
        <w:spacing w:lineRule="auto" w:line="240"/>
        <w:ind w:firstLine="680" w:left="0"/>
        <w:rPr>
          <w:sz w:val="22"/>
          <w:szCs w:val="22"/>
        </w:rPr>
      </w:pPr>
      <w:r>
        <w:rPr>
          <w:color w:val="000000"/>
          <w:sz w:val="22"/>
          <w:szCs w:val="22"/>
        </w:rPr>
        <w:t xml:space="preserve">Для оценки качества модели было вычислено среднее арифметическое (невзвешенное) полноты (UAR). UAR </w:t>
      </w:r>
      <w:r>
        <w:rPr>
          <w:color w:val="000000"/>
          <w:sz w:val="22"/>
          <w:szCs w:val="22"/>
          <w:lang w:val="ru-RU"/>
        </w:rPr>
        <w:t>–</w:t>
      </w:r>
      <w:r>
        <w:rPr>
          <w:color w:val="000000"/>
          <w:sz w:val="22"/>
          <w:szCs w:val="22"/>
        </w:rPr>
        <w:t xml:space="preserve">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pPr>
        <w:pStyle w:val="Style16"/>
        <w:spacing w:lineRule="auto" w:line="240"/>
        <w:ind w:firstLine="680" w:left="0"/>
        <w:jc w:val="center"/>
        <w:rPr>
          <w:sz w:val="22"/>
          <w:szCs w:val="22"/>
        </w:rPr>
      </w:pPr>
      <w:r>
        <w:rPr/>
      </w:r>
      <m:oMathPara xmlns:m="http://schemas.openxmlformats.org/officeDocument/2006/math">
        <m:oMathParaPr>
          <m:jc m:val="center"/>
        </m:oMathParaPr>
        <m:oMath>
          <m:r>
            <w:rPr>
              <w:rFonts w:ascii="Cambria Math" w:hAnsi="Cambria Math"/>
            </w:rPr>
            <m:t xml:space="preserve">UAR</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c</m:t>
                  </m:r>
                </m:sub>
              </m:sSub>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f>
                <m:num>
                  <m:sSub>
                    <m:e>
                      <m:r>
                        <w:rPr>
                          <w:rFonts w:ascii="Cambria Math" w:hAnsi="Cambria Math"/>
                        </w:rPr>
                        <m:t xml:space="preserve">A</m:t>
                      </m:r>
                    </m:e>
                    <m:sub>
                      <m:r>
                        <w:rPr>
                          <w:rFonts w:ascii="Cambria Math" w:hAnsi="Cambria Math"/>
                        </w:rPr>
                        <m:t xml:space="preserve">ii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sSub>
                        <m:e>
                          <m:r>
                            <w:rPr>
                              <w:rFonts w:ascii="Cambria Math" w:hAnsi="Cambria Math"/>
                            </w:rPr>
                            <m:t xml:space="preserve">A</m:t>
                          </m:r>
                        </m:e>
                        <m:sub>
                          <m:r>
                            <w:rPr>
                              <w:rFonts w:ascii="Cambria Math" w:hAnsi="Cambria Math"/>
                            </w:rPr>
                            <m:t xml:space="preserve">ij</m:t>
                          </m:r>
                        </m:sub>
                      </m:sSub>
                    </m:e>
                  </m:nary>
                </m:den>
              </m:f>
            </m:e>
          </m:nary>
        </m:oMath>
      </m:oMathPara>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 xml:space="preserve">где A – матрица путаницы, </w:t>
      </w:r>
    </w:p>
    <w:p>
      <w:pPr>
        <w:pStyle w:val="Style16"/>
        <w:spacing w:lineRule="auto" w:line="240"/>
        <w:ind w:firstLine="680" w:left="0"/>
        <w:rPr>
          <w:sz w:val="22"/>
          <w:szCs w:val="22"/>
        </w:rPr>
      </w:pP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sz w:val="22"/>
          <w:szCs w:val="22"/>
        </w:rPr>
        <w:t xml:space="preserve"> – </w:t>
      </w:r>
      <w:r>
        <w:rPr>
          <w:sz w:val="22"/>
          <w:szCs w:val="22"/>
        </w:rPr>
        <w:t xml:space="preserve">количество классов. Значение </w:t>
      </w:r>
      <w:r>
        <w:rPr/>
      </w:r>
      <m:oMath xmlns:m="http://schemas.openxmlformats.org/officeDocument/2006/math">
        <m:r>
          <w:rPr>
            <w:rFonts w:ascii="Cambria Math" w:hAnsi="Cambria Math"/>
          </w:rPr>
          <m:t xml:space="preserve">UAR</m:t>
        </m:r>
      </m:oMath>
      <w:r>
        <w:rPr>
          <w:sz w:val="22"/>
          <w:szCs w:val="22"/>
        </w:rPr>
        <w:t xml:space="preserve"> находится в диапазоне от 0 до 1. </w:t>
      </w:r>
    </w:p>
    <w:p>
      <w:pPr>
        <w:pStyle w:val="Style16"/>
        <w:spacing w:lineRule="auto" w:line="240"/>
        <w:ind w:firstLine="680" w:left="0"/>
        <w:rPr>
          <w:sz w:val="22"/>
          <w:szCs w:val="22"/>
        </w:rPr>
      </w:pPr>
      <w:r>
        <w:rPr>
          <w:sz w:val="22"/>
          <w:szCs w:val="22"/>
        </w:rPr>
      </w:r>
    </w:p>
    <w:p>
      <w:pPr>
        <w:pStyle w:val="Style16"/>
        <w:spacing w:lineRule="auto" w:line="240"/>
        <w:ind w:firstLine="680" w:left="0"/>
        <w:rPr>
          <w:sz w:val="22"/>
          <w:szCs w:val="22"/>
        </w:rPr>
      </w:pPr>
      <w:r>
        <w:rPr>
          <w:sz w:val="22"/>
          <w:szCs w:val="22"/>
        </w:rPr>
        <w:t>Эксперимент проводился в три этапа:</w:t>
      </w:r>
    </w:p>
    <w:p>
      <w:pPr>
        <w:pStyle w:val="Style16"/>
        <w:spacing w:lineRule="auto" w:line="240"/>
        <w:ind w:firstLine="680" w:left="0"/>
        <w:rPr>
          <w:sz w:val="22"/>
          <w:szCs w:val="22"/>
        </w:rPr>
      </w:pPr>
      <w:r>
        <w:rPr>
          <w:sz w:val="22"/>
          <w:szCs w:val="22"/>
        </w:rPr>
        <w:t xml:space="preserve">1) подготовка обучающей выборки; </w:t>
      </w:r>
    </w:p>
    <w:p>
      <w:pPr>
        <w:pStyle w:val="Style16"/>
        <w:spacing w:lineRule="auto" w:line="240"/>
        <w:ind w:firstLine="680" w:left="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pPr>
        <w:pStyle w:val="Style16"/>
        <w:spacing w:lineRule="auto" w:line="240"/>
        <w:ind w:firstLine="680" w:left="0"/>
        <w:rPr>
          <w:sz w:val="22"/>
          <w:szCs w:val="22"/>
        </w:rPr>
      </w:pPr>
      <w:r>
        <w:rPr>
          <w:sz w:val="22"/>
          <w:szCs w:val="22"/>
        </w:rPr>
        <w:t xml:space="preserve">3) оценка модели с использованием метрики </w:t>
      </w:r>
      <w:r>
        <w:rPr/>
      </w:r>
      <m:oMath xmlns:m="http://schemas.openxmlformats.org/officeDocument/2006/math">
        <m:r>
          <w:rPr>
            <w:rFonts w:ascii="Cambria Math" w:hAnsi="Cambria Math"/>
          </w:rPr>
          <m:t xml:space="preserve">UAR</m:t>
        </m:r>
      </m:oMath>
      <w:r>
        <w:rPr>
          <w:sz w:val="22"/>
          <w:szCs w:val="22"/>
        </w:rPr>
        <w:t>.</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Результаты и их обсуждение</w:t>
      </w:r>
    </w:p>
    <w:p>
      <w:pPr>
        <w:pStyle w:val="Style11"/>
        <w:rPr/>
      </w:pPr>
      <w:r>
        <w:rPr/>
        <w:t>Эксперименты, проведенные с набором данных RAVDESS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grid search, чтобы настроить и найти лучшие гиперпараметры для данного ядра. В таблице 1 дана краткая информация обо всех проведенных экспериментах.</w:t>
      </w:r>
    </w:p>
    <w:p>
      <w:pPr>
        <w:pStyle w:val="Style11"/>
        <w:rPr/>
      </w:pPr>
      <w:r>
        <w:rPr/>
      </w:r>
    </w:p>
    <w:p>
      <w:pPr>
        <w:pStyle w:val="BodyText"/>
        <w:jc w:val="center"/>
        <w:rPr>
          <w:lang w:val="ru-RU"/>
        </w:rPr>
      </w:pPr>
      <w:r>
        <w:rPr/>
        <w:t xml:space="preserve">Таблица 1 </w:t>
      </w:r>
    </w:p>
    <w:p>
      <w:pPr>
        <w:pStyle w:val="BodyText"/>
        <w:jc w:val="center"/>
        <w:rPr/>
      </w:pPr>
      <w:r>
        <w:rPr/>
        <w:t xml:space="preserve">Результирующий </w:t>
      </w:r>
      <w:r>
        <w:rPr>
          <w:lang w:val="en-US"/>
        </w:rPr>
        <w:t>UAR</w:t>
      </w:r>
      <w:r>
        <w:rPr>
          <w:lang w:val="ru-RU"/>
        </w:rPr>
        <w:t xml:space="preserve"> </w:t>
      </w:r>
      <w:r>
        <w:rPr/>
        <w:t xml:space="preserve">для классификатора на основа </w:t>
      </w:r>
      <w:r>
        <w:rPr>
          <w:lang w:val="ru-RU"/>
        </w:rPr>
        <w:t>МОВ</w:t>
      </w:r>
      <w:r>
        <w:rPr/>
        <w:t xml:space="preserve"> с различными ядрами</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2258"/>
        <w:gridCol w:w="2265"/>
        <w:gridCol w:w="2261"/>
        <w:gridCol w:w="2258"/>
      </w:tblGrid>
      <w:tr>
        <w:trPr/>
        <w:tc>
          <w:tcPr>
            <w:tcW w:w="2258" w:type="dxa"/>
            <w:tcBorders>
              <w:top w:val="single" w:sz="6" w:space="0" w:color="000000"/>
              <w:bottom w:val="single" w:sz="6" w:space="0" w:color="000000"/>
            </w:tcBorders>
          </w:tcPr>
          <w:p>
            <w:pPr>
              <w:pStyle w:val="TableContents"/>
              <w:jc w:val="center"/>
              <w:rPr/>
            </w:pPr>
            <w:r>
              <w:rPr>
                <w:rFonts w:ascii="Liberation Serif" w:hAnsi="Liberation Serif"/>
                <w:color w:val="000000"/>
              </w:rPr>
              <w:t>Размер фрейма</w:t>
            </w:r>
          </w:p>
        </w:tc>
        <w:tc>
          <w:tcPr>
            <w:tcW w:w="2265" w:type="dxa"/>
            <w:tcBorders>
              <w:top w:val="single" w:sz="6" w:space="0" w:color="000000"/>
              <w:bottom w:val="single" w:sz="6" w:space="0" w:color="000000"/>
            </w:tcBorders>
          </w:tcPr>
          <w:p>
            <w:pPr>
              <w:pStyle w:val="TableContents"/>
              <w:jc w:val="center"/>
              <w:rPr/>
            </w:pPr>
            <w:r>
              <w:rPr>
                <w:rFonts w:ascii="Liberation Serif" w:hAnsi="Liberation Serif"/>
                <w:color w:val="000000"/>
              </w:rPr>
              <w:t>Линейное ядро</w:t>
            </w:r>
          </w:p>
        </w:tc>
        <w:tc>
          <w:tcPr>
            <w:tcW w:w="2261" w:type="dxa"/>
            <w:tcBorders>
              <w:top w:val="single" w:sz="6" w:space="0" w:color="000000"/>
              <w:bottom w:val="single" w:sz="6" w:space="0" w:color="000000"/>
            </w:tcBorders>
          </w:tcPr>
          <w:p>
            <w:pPr>
              <w:pStyle w:val="TableContents"/>
              <w:jc w:val="center"/>
              <w:rP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pPr>
              <w:pStyle w:val="TableContents"/>
              <w:jc w:val="center"/>
              <w:rPr/>
            </w:pPr>
            <w:r>
              <w:rPr>
                <w:rFonts w:ascii="Liberation Serif" w:hAnsi="Liberation Serif"/>
                <w:color w:val="000000"/>
              </w:rPr>
              <w:t>RBF ядро</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1024</w:t>
            </w:r>
          </w:p>
        </w:tc>
        <w:tc>
          <w:tcPr>
            <w:tcW w:w="2265" w:type="dxa"/>
            <w:tcBorders/>
          </w:tcPr>
          <w:p>
            <w:pPr>
              <w:pStyle w:val="TableContents"/>
              <w:jc w:val="center"/>
              <w:rPr>
                <w:rFonts w:ascii="Liberation Serif" w:hAnsi="Liberation Serif"/>
                <w:color w:val="000000"/>
              </w:rPr>
            </w:pPr>
            <w:r>
              <w:rPr>
                <w:rFonts w:ascii="Liberation Serif" w:hAnsi="Liberation Serif"/>
                <w:color w:val="000000"/>
              </w:rPr>
              <w:t>0.458 (C =0.01)</w:t>
            </w:r>
          </w:p>
        </w:tc>
        <w:tc>
          <w:tcPr>
            <w:tcW w:w="2261" w:type="dxa"/>
            <w:tcBorders/>
          </w:tcPr>
          <w:p>
            <w:pPr>
              <w:pStyle w:val="TableContents"/>
              <w:jc w:val="center"/>
              <w:rPr>
                <w:rFonts w:ascii="Liberation Serif" w:hAnsi="Liberation Serif"/>
                <w:color w:val="000000"/>
              </w:rPr>
            </w:pPr>
            <w:r>
              <w:rPr>
                <w:rFonts w:ascii="Liberation Serif" w:hAnsi="Liberation Serif"/>
                <w:color w:val="000000"/>
              </w:rPr>
              <w:t xml:space="preserve">0.457(C = 0.01, </w:t>
              <w:br/>
              <w:t>γ= 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0.469 (C = 8.11, </w:t>
              <w:br/>
              <w:t>γ= 0.0008)</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2048</w:t>
            </w:r>
          </w:p>
        </w:tc>
        <w:tc>
          <w:tcPr>
            <w:tcW w:w="2265" w:type="dxa"/>
            <w:tcBorders/>
          </w:tcPr>
          <w:p>
            <w:pPr>
              <w:pStyle w:val="TableContents"/>
              <w:jc w:val="center"/>
              <w:rPr>
                <w:rFonts w:ascii="Liberation Serif" w:hAnsi="Liberation Serif"/>
                <w:color w:val="000000"/>
              </w:rPr>
            </w:pPr>
            <w:r>
              <w:rPr>
                <w:rFonts w:ascii="Liberation Serif" w:hAnsi="Liberation Serif"/>
                <w:color w:val="000000"/>
              </w:rPr>
              <w:t>0.451 (C =0.1)</w:t>
            </w:r>
          </w:p>
        </w:tc>
        <w:tc>
          <w:tcPr>
            <w:tcW w:w="2261" w:type="dxa"/>
            <w:tcBorders/>
          </w:tcPr>
          <w:p>
            <w:pPr>
              <w:pStyle w:val="TableContents"/>
              <w:jc w:val="center"/>
              <w:rPr>
                <w:rFonts w:ascii="Liberation Serif" w:hAnsi="Liberation Serif"/>
                <w:color w:val="000000"/>
              </w:rPr>
            </w:pPr>
            <w:r>
              <w:rPr>
                <w:rFonts w:ascii="Liberation Serif" w:hAnsi="Liberation Serif"/>
                <w:color w:val="000000"/>
              </w:rPr>
              <w:t xml:space="preserve">0.45 (C = 0.01, </w:t>
              <w:br/>
              <w:t>γ= 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0.471 (C = 8.11, </w:t>
              <w:br/>
              <w:t>γ= 0.00088)</w:t>
            </w:r>
          </w:p>
        </w:tc>
      </w:tr>
      <w:tr>
        <w:trPr/>
        <w:tc>
          <w:tcPr>
            <w:tcW w:w="2258" w:type="dxa"/>
            <w:tcBorders/>
          </w:tcPr>
          <w:p>
            <w:pPr>
              <w:pStyle w:val="TableContents"/>
              <w:jc w:val="center"/>
              <w:rPr>
                <w:rFonts w:ascii="Liberation Serif" w:hAnsi="Liberation Serif"/>
                <w:color w:val="000000"/>
              </w:rPr>
            </w:pPr>
            <w:r>
              <w:rPr>
                <w:rFonts w:ascii="Liberation Serif" w:hAnsi="Liberation Serif"/>
                <w:color w:val="000000"/>
              </w:rPr>
              <w:t>4096</w:t>
            </w:r>
          </w:p>
        </w:tc>
        <w:tc>
          <w:tcPr>
            <w:tcW w:w="2265" w:type="dxa"/>
            <w:tcBorders/>
          </w:tcPr>
          <w:p>
            <w:pPr>
              <w:pStyle w:val="TableContents"/>
              <w:jc w:val="center"/>
              <w:rPr>
                <w:rFonts w:ascii="Liberation Serif" w:hAnsi="Liberation Serif"/>
                <w:color w:val="000000"/>
              </w:rPr>
            </w:pPr>
            <w:r>
              <w:rPr>
                <w:rFonts w:ascii="Liberation Serif" w:hAnsi="Liberation Serif"/>
                <w:color w:val="000000"/>
              </w:rPr>
              <w:t>0.454 (C =0.01)</w:t>
            </w:r>
          </w:p>
        </w:tc>
        <w:tc>
          <w:tcPr>
            <w:tcW w:w="2261" w:type="dxa"/>
            <w:tcBorders/>
          </w:tcPr>
          <w:p>
            <w:pPr>
              <w:pStyle w:val="TableContents"/>
              <w:jc w:val="center"/>
              <w:rPr>
                <w:rFonts w:ascii="Liberation Serif" w:hAnsi="Liberation Serif"/>
                <w:color w:val="000000"/>
              </w:rPr>
            </w:pPr>
            <w:r>
              <w:rPr>
                <w:rFonts w:ascii="Liberation Serif" w:hAnsi="Liberation Serif"/>
                <w:color w:val="000000"/>
              </w:rPr>
              <w:t xml:space="preserve">0.455 (C = 0.05, </w:t>
              <w:br/>
              <w:t>γ= 0.1, deg= 1)</w:t>
            </w:r>
          </w:p>
        </w:tc>
        <w:tc>
          <w:tcPr>
            <w:tcW w:w="2258" w:type="dxa"/>
            <w:tcBorders/>
          </w:tcPr>
          <w:p>
            <w:pPr>
              <w:pStyle w:val="TableContents"/>
              <w:jc w:val="center"/>
              <w:rPr>
                <w:rFonts w:ascii="Liberation Serif" w:hAnsi="Liberation Serif"/>
                <w:color w:val="000000"/>
              </w:rPr>
            </w:pPr>
            <w:r>
              <w:rPr>
                <w:rFonts w:ascii="Liberation Serif" w:hAnsi="Liberation Serif"/>
                <w:color w:val="000000"/>
              </w:rPr>
              <w:t xml:space="preserve">0.476 (C = 2.31, </w:t>
              <w:br/>
              <w:t>γ= 0.0014</w:t>
            </w:r>
          </w:p>
        </w:tc>
      </w:tr>
      <w:tr>
        <w:trPr/>
        <w:tc>
          <w:tcPr>
            <w:tcW w:w="2258"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8192</w:t>
            </w:r>
          </w:p>
        </w:tc>
        <w:tc>
          <w:tcPr>
            <w:tcW w:w="2265"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1"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br/>
              <w:t xml:space="preserve"> γ= 0.1, deg= 1)</w:t>
            </w:r>
          </w:p>
        </w:tc>
        <w:tc>
          <w:tcPr>
            <w:tcW w:w="2258"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br/>
              <w:t>γ= 0.014)</w:t>
            </w:r>
          </w:p>
        </w:tc>
      </w:tr>
    </w:tbl>
    <w:p>
      <w:pPr>
        <w:pStyle w:val="BodyText"/>
        <w:rPr>
          <w:lang w:val="en-US"/>
        </w:rPr>
      </w:pPr>
      <w:r>
        <w:rPr>
          <w:lang w:val="en-US"/>
        </w:rPr>
      </w:r>
    </w:p>
    <w:p>
      <w:pPr>
        <w:pStyle w:val="Style11"/>
        <w:rPr/>
      </w:pPr>
      <w:r>
        <w:rP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pPr>
        <w:pStyle w:val="Style11"/>
        <w:rPr/>
      </w:pPr>
      <w:r>
        <w:rPr/>
        <w:t>При увеличении размера фрейма анализа до 16384 показатель UAR резко падал до значения порядка 0.134.</w:t>
      </w:r>
    </w:p>
    <w:p>
      <w:pPr>
        <w:pStyle w:val="Style12"/>
        <w:rPr>
          <w:highlight w:val="yellow"/>
        </w:rPr>
      </w:pPr>
      <w:r>
        <w:rPr>
          <w:highlight w:val="yellow"/>
        </w:rPr>
      </w:r>
    </w:p>
    <w:tbl>
      <w:tblPr>
        <w:tblStyle w:val="afb"/>
        <w:tblW w:w="90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94"/>
        <w:gridCol w:w="5548"/>
      </w:tblGrid>
      <w:tr>
        <w:trPr/>
        <w:tc>
          <w:tcPr>
            <w:tcW w:w="3494" w:type="dxa"/>
            <w:tcBorders>
              <w:top w:val="nil"/>
              <w:left w:val="nil"/>
              <w:bottom w:val="nil"/>
              <w:right w:val="nil"/>
            </w:tcBorders>
          </w:tcPr>
          <w:p>
            <w:pPr>
              <w:pStyle w:val="Normal"/>
              <w:widowControl/>
              <w:suppressAutoHyphens w:val="true"/>
              <w:spacing w:before="0" w:after="0"/>
              <w:jc w:val="left"/>
              <w:rPr>
                <w:highlight w:val="yellow"/>
                <w:lang w:val="ru-RU"/>
              </w:rPr>
            </w:pPr>
            <w:r>
              <w:rPr>
                <w:rFonts w:eastAsia="Calibri" w:cs="Times New Roman"/>
                <w:kern w:val="0"/>
                <w:sz w:val="20"/>
                <w:szCs w:val="20"/>
                <w:lang w:eastAsia="en-US" w:bidi="ar-SA"/>
              </w:rPr>
              <w:drawing>
                <wp:inline distT="0" distB="0" distL="0" distR="0">
                  <wp:extent cx="2101850" cy="2167255"/>
                  <wp:effectExtent l="0" t="0" r="0" b="0"/>
                  <wp:docPr id="1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 descr=""/>
                          <pic:cNvPicPr>
                            <a:picLocks noChangeAspect="1" noChangeArrowheads="1"/>
                          </pic:cNvPicPr>
                        </pic:nvPicPr>
                        <pic:blipFill>
                          <a:blip r:embed="rId9"/>
                          <a:stretch>
                            <a:fillRect/>
                          </a:stretch>
                        </pic:blipFill>
                        <pic:spPr bwMode="auto">
                          <a:xfrm>
                            <a:off x="0" y="0"/>
                            <a:ext cx="2101850" cy="2167255"/>
                          </a:xfrm>
                          <a:prstGeom prst="rect">
                            <a:avLst/>
                          </a:prstGeom>
                        </pic:spPr>
                      </pic:pic>
                    </a:graphicData>
                  </a:graphic>
                </wp:inline>
              </w:drawing>
            </w:r>
          </w:p>
          <w:p>
            <w:pPr>
              <w:pStyle w:val="Normal"/>
              <w:widowControl/>
              <w:suppressAutoHyphens w:val="true"/>
              <w:spacing w:before="0" w:after="0"/>
              <w:jc w:val="center"/>
              <w:rPr>
                <w:highlight w:val="yellow"/>
                <w:lang w:val="ru-RU"/>
              </w:rPr>
            </w:pPr>
            <w:r>
              <w:rPr>
                <w:rFonts w:eastAsia="Calibri" w:cs="Times New Roman"/>
                <w:kern w:val="0"/>
                <w:sz w:val="20"/>
                <w:szCs w:val="20"/>
                <w:lang w:val="ru-RU" w:eastAsia="en-US" w:bidi="ar-SA"/>
              </w:rPr>
              <w:t>а)</w:t>
            </w:r>
          </w:p>
        </w:tc>
        <w:tc>
          <w:tcPr>
            <w:tcW w:w="5548" w:type="dxa"/>
            <w:tcBorders>
              <w:top w:val="nil"/>
              <w:left w:val="nil"/>
              <w:bottom w:val="nil"/>
              <w:right w:val="nil"/>
            </w:tcBorders>
          </w:tcPr>
          <w:p>
            <w:pPr>
              <w:pStyle w:val="Normal"/>
              <w:widowControl/>
              <w:suppressAutoHyphens w:val="true"/>
              <w:spacing w:before="0" w:after="0"/>
              <w:jc w:val="left"/>
              <w:rPr>
                <w:highlight w:val="yellow"/>
                <w:lang w:val="ru-RU"/>
              </w:rPr>
            </w:pPr>
            <w:r>
              <w:rPr>
                <w:rFonts w:eastAsia="Calibri" w:cs="Times New Roman"/>
                <w:kern w:val="0"/>
                <w:sz w:val="20"/>
                <w:szCs w:val="20"/>
                <w:lang w:eastAsia="en-US" w:bidi="ar-SA"/>
              </w:rPr>
              <w:drawing>
                <wp:inline distT="0" distB="0" distL="0" distR="0">
                  <wp:extent cx="3418840" cy="2622550"/>
                  <wp:effectExtent l="0" t="0" r="0" b="0"/>
                  <wp:docPr id="1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descr=""/>
                          <pic:cNvPicPr>
                            <a:picLocks noChangeAspect="1" noChangeArrowheads="1"/>
                          </pic:cNvPicPr>
                        </pic:nvPicPr>
                        <pic:blipFill>
                          <a:blip r:embed="rId10"/>
                          <a:stretch>
                            <a:fillRect/>
                          </a:stretch>
                        </pic:blipFill>
                        <pic:spPr bwMode="auto">
                          <a:xfrm>
                            <a:off x="0" y="0"/>
                            <a:ext cx="3418840" cy="2622550"/>
                          </a:xfrm>
                          <a:prstGeom prst="rect">
                            <a:avLst/>
                          </a:prstGeom>
                        </pic:spPr>
                      </pic:pic>
                    </a:graphicData>
                  </a:graphic>
                </wp:inline>
              </w:drawing>
            </w:r>
          </w:p>
          <w:p>
            <w:pPr>
              <w:pStyle w:val="Normal"/>
              <w:widowControl/>
              <w:suppressAutoHyphens w:val="true"/>
              <w:spacing w:before="0" w:after="0"/>
              <w:jc w:val="center"/>
              <w:rPr>
                <w:highlight w:val="yellow"/>
                <w:lang w:val="ru-RU"/>
              </w:rPr>
            </w:pPr>
            <w:r>
              <w:rPr>
                <w:rFonts w:eastAsia="Calibri" w:cs="Times New Roman"/>
                <w:kern w:val="0"/>
                <w:sz w:val="20"/>
                <w:szCs w:val="20"/>
                <w:lang w:val="ru-RU" w:eastAsia="en-US" w:bidi="ar-SA"/>
              </w:rPr>
              <w:t>б)</w:t>
            </w:r>
          </w:p>
        </w:tc>
      </w:tr>
    </w:tbl>
    <w:p>
      <w:pPr>
        <w:pStyle w:val="Style12"/>
        <w:rPr/>
      </w:pPr>
      <w:r>
        <w:rPr/>
        <w:t>Рис.5. Результаты экспериментов: а) Поверхность UAR; б) матрица спутывания</w:t>
      </w:r>
    </w:p>
    <w:p>
      <w:pPr>
        <w:pStyle w:val="Style12"/>
        <w:rPr>
          <w:lang w:val="en-US"/>
        </w:rPr>
      </w:pPr>
      <w:r>
        <w:rPr>
          <w:lang w:val="en-US"/>
        </w:rPr>
        <w:t>Fig. 5. a) UAR surface; b) confusion matrix</w:t>
      </w:r>
    </w:p>
    <w:p>
      <w:pPr>
        <w:pStyle w:val="Style11"/>
        <w:rPr/>
      </w:pPr>
      <w:r>
        <w:rPr/>
        <w:t>На рис. 6 представлена матрица спутывания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11"/>
        <w:rPr/>
      </w:pPr>
      <w:r>
        <w:rPr/>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Заключение</w:t>
      </w:r>
    </w:p>
    <w:p>
      <w:pPr>
        <w:pStyle w:val="Style11"/>
        <w:rPr/>
      </w:pPr>
      <w:r>
        <w:rPr/>
        <w:t>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85 мс. По сравнению с другими работами [2]–[5] есть возможности для улучшения.</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pPr>
        <w:pStyle w:val="Normal"/>
        <w:numPr>
          <w:ilvl w:val="0"/>
          <w:numId w:val="2"/>
        </w:numPr>
        <w:ind w:hanging="369" w:left="369"/>
        <w:jc w:val="both"/>
        <w:rPr>
          <w:spacing w:val="-4"/>
          <w:lang w:val="en-US"/>
        </w:rPr>
      </w:pPr>
      <w:r>
        <w:rPr>
          <w:spacing w:val="-4"/>
        </w:rPr>
        <w:t>D. Issa, M. F. Demirci, and A. Yazici, “Speech emotion recognition with deep convolutional neural networks,” Biomedical Signal Processing and Control, vol. 59, 2020.</w:t>
      </w:r>
    </w:p>
    <w:p>
      <w:pPr>
        <w:pStyle w:val="Normal"/>
        <w:numPr>
          <w:ilvl w:val="0"/>
          <w:numId w:val="2"/>
        </w:numPr>
        <w:ind w:hanging="369" w:left="369"/>
        <w:jc w:val="both"/>
        <w:rPr/>
      </w:pPr>
      <w:r>
        <w:rPr>
          <w:spacing w:val="-4"/>
          <w:lang w:val="en-US"/>
        </w:rPr>
        <w:t>C. Luna-Jiménez, D. Griol, Z. Callejas, R. Kleinlein, J. M. Montero, and F. Fernández-Martı́nez, “Multimodal emotion recognition on RAVDESS dataset using transfer learning,” Sensors, vol. 21, no. 22, pp. 1–29, 2021.</w:t>
      </w:r>
    </w:p>
    <w:p>
      <w:pPr>
        <w:pStyle w:val="Normal"/>
        <w:numPr>
          <w:ilvl w:val="0"/>
          <w:numId w:val="2"/>
        </w:numPr>
        <w:ind w:hanging="369" w:left="369"/>
        <w:jc w:val="both"/>
        <w:rPr>
          <w:spacing w:val="-4"/>
          <w:lang w:val="en-US"/>
        </w:rPr>
      </w:pPr>
      <w:r>
        <w:rPr>
          <w:spacing w:val="-4"/>
          <w:lang w:val="en-US"/>
        </w:rPr>
        <w:t xml:space="preserve">Xiao, H.; Li, W.; Zeng, G.; Wu, Y.; Xue, J.; Zhang, J.; Li, C.; Guo, G. On-Road Driver Emotion Recognition Using Facial Expression. </w:t>
      </w:r>
      <w:r>
        <w:rPr>
          <w:rStyle w:val="Emphasis"/>
          <w:spacing w:val="-4"/>
          <w:lang w:val="en-US"/>
        </w:rPr>
        <w:t>Appl. Sci.</w:t>
      </w:r>
      <w:r>
        <w:rPr>
          <w:spacing w:val="-4"/>
          <w:lang w:val="en-US"/>
        </w:rPr>
        <w:t xml:space="preserve"> 2022, </w:t>
      </w:r>
      <w:r>
        <w:rPr>
          <w:rStyle w:val="Emphasis"/>
          <w:spacing w:val="-4"/>
          <w:lang w:val="en-US"/>
        </w:rPr>
        <w:t>12</w:t>
      </w:r>
      <w:r>
        <w:rPr>
          <w:spacing w:val="-4"/>
          <w:lang w:val="en-US"/>
        </w:rPr>
        <w:t xml:space="preserve">, 807. https://doi.org/10.3390/app12020807 </w:t>
      </w:r>
    </w:p>
    <w:p>
      <w:pPr>
        <w:pStyle w:val="Normal"/>
        <w:numPr>
          <w:ilvl w:val="0"/>
          <w:numId w:val="2"/>
        </w:numPr>
        <w:ind w:hanging="369" w:left="369"/>
        <w:jc w:val="both"/>
        <w:rPr/>
      </w:pPr>
      <w:r>
        <w:rPr>
          <w:spacing w:val="-4"/>
          <w:lang w:val="en-US"/>
        </w:rPr>
        <w:t>S. Sadok, S. Leglaive, and R. Séguier, “A vector quantized masked autoencoder for speech emotion recognition,” arXiv preprint arXiv:2304.11117, 2023.</w:t>
      </w:r>
    </w:p>
    <w:p>
      <w:pPr>
        <w:pStyle w:val="Normal"/>
        <w:numPr>
          <w:ilvl w:val="0"/>
          <w:numId w:val="2"/>
        </w:numPr>
        <w:ind w:hanging="369" w:left="369"/>
        <w:jc w:val="both"/>
        <w:rPr/>
      </w:pPr>
      <w:r>
        <w:rPr>
          <w:spacing w:val="-4"/>
          <w:lang w:val="en-US"/>
        </w:rPr>
        <w:t>A. Bhavan, P. Chauhan, R. R. Shah et al., “Bagged support vector machines for emotion recognition from speech,” Knowledge-Based Systems, vol. 184, pp. 1–7, 2019.</w:t>
      </w:r>
    </w:p>
    <w:p>
      <w:pPr>
        <w:pStyle w:val="Normal"/>
        <w:numPr>
          <w:ilvl w:val="0"/>
          <w:numId w:val="2"/>
        </w:numPr>
        <w:ind w:hanging="369" w:left="369"/>
        <w:jc w:val="both"/>
        <w:rPr/>
      </w:pPr>
      <w:r>
        <w:rPr>
          <w:spacing w:val="-4"/>
          <w:lang w:val="en-US"/>
        </w:rPr>
        <w:t>M. Baruah and B. Banerjee, “Speech emotion recognition via generation using an attention-based variational recurrent neural network,” Proc. Interspeech 2022, pp. 4710–4714, 2022.</w:t>
      </w:r>
    </w:p>
    <w:p>
      <w:pPr>
        <w:pStyle w:val="Normal"/>
        <w:numPr>
          <w:ilvl w:val="0"/>
          <w:numId w:val="2"/>
        </w:numPr>
        <w:ind w:hanging="369" w:left="369"/>
        <w:jc w:val="both"/>
        <w:rPr/>
      </w:pPr>
      <w:r>
        <w:rPr/>
        <w:t>Yu, C., Tian, Q., Cheng, F., Zhang, S. (2011). Speech Emotion Recognition Using Support Vector Machines. In: Shen, G., Huang, X. (eds) Advanced Research on Computer Science and Information Engineering. CSIE 2011. Communications in Computer and Information Science, vol 152. Springer, Berlin, Heidelberg. https://doi.org/10.1007/978-3-642-21402-8_35</w:t>
      </w:r>
    </w:p>
    <w:p>
      <w:pPr>
        <w:pStyle w:val="Normal"/>
        <w:numPr>
          <w:ilvl w:val="0"/>
          <w:numId w:val="2"/>
        </w:numPr>
        <w:ind w:hanging="369" w:left="369"/>
        <w:jc w:val="both"/>
        <w:rPr/>
      </w:pPr>
      <w:r>
        <w:rPr>
          <w:spacing w:val="-4"/>
          <w:lang w:val="en-US"/>
        </w:rPr>
        <w:t>X. Huang, A. Acero, H.-W. Hon, and R. Foreword By-Reddy, Spoken language processing: A guide to theory, algorithm, and system development. Prentice hall PTR, 2001.</w:t>
      </w:r>
    </w:p>
    <w:p>
      <w:pPr>
        <w:pStyle w:val="Normal"/>
        <w:numPr>
          <w:ilvl w:val="0"/>
          <w:numId w:val="2"/>
        </w:numPr>
        <w:ind w:hanging="369" w:left="369"/>
        <w:jc w:val="both"/>
        <w:rPr/>
      </w:pPr>
      <w:r>
        <w:rPr>
          <w:spacing w:val="-4"/>
          <w:lang w:val="en-US"/>
        </w:rPr>
        <w:t>T. Hastie, R. Tibshirani, J. H. Friedman, and J. H. Friedman, The elements of statistical learning: data mining, inference, and prediction. Springer, 2009.</w:t>
      </w:r>
    </w:p>
    <w:p>
      <w:pPr>
        <w:pStyle w:val="Normal"/>
        <w:numPr>
          <w:ilvl w:val="0"/>
          <w:numId w:val="2"/>
        </w:numPr>
        <w:ind w:hanging="369" w:left="369"/>
        <w:jc w:val="both"/>
        <w:rPr/>
      </w:pPr>
      <w:r>
        <w:rPr>
          <w:spacing w:val="-4"/>
          <w:lang w:val="en-US"/>
        </w:rPr>
        <w:t>C. K. On, P. M. Pandiyan, S. Yaacob, and A. Saudi, “Mel-frequency cepstral coefficient analysis in speech recognition,” in 2006 International Conference on Computing &amp; Informatics, 2006, pp. 1–5.</w:t>
      </w:r>
    </w:p>
    <w:p>
      <w:pPr>
        <w:pStyle w:val="Normal"/>
        <w:numPr>
          <w:ilvl w:val="0"/>
          <w:numId w:val="2"/>
        </w:numPr>
        <w:ind w:hanging="369" w:left="369"/>
        <w:jc w:val="both"/>
        <w:rPr/>
      </w:pPr>
      <w:r>
        <w:rPr>
          <w:spacing w:val="-4"/>
          <w:lang w:val="en-US"/>
        </w:rPr>
        <w:t>M. M. Goodwin, “The STFT, sinusoidal models, and speech modification,” Springer Handbook of Speech Processing, pp. 229–258, 2008.</w:t>
      </w:r>
    </w:p>
    <w:p>
      <w:pPr>
        <w:pStyle w:val="Normal"/>
        <w:numPr>
          <w:ilvl w:val="0"/>
          <w:numId w:val="2"/>
        </w:numPr>
        <w:ind w:hanging="369" w:left="369"/>
        <w:jc w:val="both"/>
        <w:rPr/>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pPr>
        <w:pStyle w:val="Normal"/>
        <w:numPr>
          <w:ilvl w:val="0"/>
          <w:numId w:val="2"/>
        </w:numPr>
        <w:ind w:hanging="369" w:left="369"/>
        <w:jc w:val="both"/>
        <w:rPr/>
      </w:pPr>
      <w:r>
        <w:rPr>
          <w:spacing w:val="-4"/>
          <w:lang w:val="en-US"/>
        </w:rPr>
        <w:t>Luna-Jiménez, C.; Griol, D.; Callejas, Z.; Kleinlein, R.; Montero, J.M.; Fernández-Martínez, F. Multimodal Emotion Recognition on RAVDESS Dataset Using Transfer Learning. Sensors 2021, 21, 7665. https://doi.org/10.3390/s21227665</w:t>
      </w:r>
    </w:p>
    <w:p>
      <w:pPr>
        <w:pStyle w:val="Normal"/>
        <w:keepNext w:val="true"/>
        <w:keepLines/>
        <w:numPr>
          <w:ilvl w:val="0"/>
          <w:numId w:val="0"/>
        </w:numPr>
        <w:tabs>
          <w:tab w:val="left" w:pos="709" w:leader="none"/>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pPr>
        <w:pStyle w:val="Normal"/>
        <w:shd w:val="clear" w:color="auto" w:fill="FFFFFF"/>
        <w:spacing w:before="120" w:after="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w:t>
      </w:r>
    </w:p>
    <w:p>
      <w:pPr>
        <w:pStyle w:val="Normal"/>
        <w:keepNext w:val="true"/>
        <w:keepLines/>
        <w:numPr>
          <w:ilvl w:val="0"/>
          <w:numId w:val="0"/>
        </w:numPr>
        <w:tabs>
          <w:tab w:val="left" w:pos="709" w:leader="none"/>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pPr>
        <w:pStyle w:val="Normal"/>
        <w:shd w:val="clear" w:color="auto" w:fill="FFFFFF"/>
        <w:spacing w:before="120" w:after="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w:t>
      </w:r>
    </w:p>
    <w:p>
      <w:pPr>
        <w:pStyle w:val="Normal"/>
        <w:rPr>
          <w:highlight w:val="yellow"/>
        </w:rPr>
      </w:pPr>
      <w:r>
        <w:rPr>
          <w:highlight w:val="yellow"/>
        </w:rPr>
      </w:r>
    </w:p>
    <w:tbl>
      <w:tblPr>
        <w:tblW w:w="91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442"/>
        <w:gridCol w:w="239"/>
        <w:gridCol w:w="4444"/>
      </w:tblGrid>
      <w:tr>
        <w:trPr>
          <w:trHeight w:val="2267" w:hRule="atLeast"/>
        </w:trPr>
        <w:tc>
          <w:tcPr>
            <w:tcW w:w="4442" w:type="dxa"/>
            <w:tcBorders/>
            <w:shd w:color="auto" w:fill="auto" w:val="clear"/>
          </w:tcPr>
          <w:p>
            <w:pPr>
              <w:pStyle w:val="Normal"/>
              <w:widowControl w:val="false"/>
              <w:spacing w:before="0" w:after="120"/>
              <w:jc w:val="center"/>
              <w:rPr>
                <w:rFonts w:eastAsia="Times New Roman"/>
                <w:b/>
                <w:lang w:val="ru-RU" w:eastAsia="ru-RU"/>
              </w:rPr>
            </w:pPr>
            <w:r>
              <w:rPr>
                <w:rFonts w:eastAsia="Times New Roman"/>
                <w:b/>
                <w:lang w:val="ru-RU" w:eastAsia="ru-RU"/>
              </w:rPr>
              <w:t>Сведения об авторах</w:t>
            </w:r>
          </w:p>
          <w:p>
            <w:pPr>
              <w:pStyle w:val="Normal"/>
              <w:widowControl w:val="false"/>
              <w:spacing w:before="0"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pPr>
              <w:pStyle w:val="Normal"/>
              <w:widowControl w:val="false"/>
              <w:spacing w:before="0"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pPr>
              <w:pStyle w:val="Normal"/>
              <w:widowControl w:val="false"/>
              <w:spacing w:before="0" w:after="240"/>
              <w:jc w:val="both"/>
              <w:rPr>
                <w:rFonts w:eastAsia="Times New Roman"/>
                <w:lang w:val="ru-RU"/>
              </w:rPr>
            </w:pPr>
            <w:r>
              <w:rPr/>
            </w:r>
          </w:p>
        </w:tc>
        <w:tc>
          <w:tcPr>
            <w:tcW w:w="239" w:type="dxa"/>
            <w:tcBorders/>
            <w:shd w:color="auto" w:fill="auto" w:val="clear"/>
          </w:tcPr>
          <w:p>
            <w:pPr>
              <w:pStyle w:val="Normal"/>
              <w:widowControl w:val="false"/>
              <w:jc w:val="both"/>
              <w:rPr>
                <w:rFonts w:eastAsia="Times New Roman"/>
                <w:spacing w:val="-4"/>
              </w:rPr>
            </w:pPr>
            <w:r>
              <w:rPr>
                <w:rFonts w:eastAsia="Times New Roman"/>
                <w:spacing w:val="-4"/>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pPr>
              <w:pStyle w:val="Default"/>
              <w:widowControl w:val="false"/>
              <w:jc w:val="both"/>
              <w:rPr>
                <w:rFonts w:eastAsia="Times New Roman"/>
              </w:rPr>
            </w:pPr>
            <w:r>
              <w:rPr>
                <w:rFonts w:eastAsia="Times New Roman"/>
                <w:sz w:val="20"/>
                <w:szCs w:val="20"/>
                <w:lang w:val="en-US"/>
              </w:rPr>
              <w:t>M.I. Vashkevich Professor, Department of Electronic Computing Facilities in BSUIR, DrSc.</w:t>
            </w:r>
          </w:p>
          <w:p>
            <w:pPr>
              <w:pStyle w:val="Default"/>
              <w:widowControl w:val="false"/>
              <w:jc w:val="both"/>
              <w:rPr>
                <w:rFonts w:eastAsia="Times New Roman"/>
              </w:rPr>
            </w:pPr>
            <w:r>
              <w:rPr/>
            </w:r>
          </w:p>
          <w:p>
            <w:pPr>
              <w:pStyle w:val="Normal"/>
              <w:widowControl w:val="false"/>
              <w:spacing w:before="0" w:after="240"/>
              <w:jc w:val="both"/>
              <w:rPr>
                <w:rFonts w:eastAsia="Times New Roman"/>
                <w:lang w:val="en-US"/>
              </w:rPr>
            </w:pPr>
            <w:r>
              <w:rPr>
                <w:rFonts w:eastAsia="Times New Roman"/>
                <w:lang w:val="en-US"/>
              </w:rPr>
              <w:t>D.V. Krasnoproshin master student, Department of Electronic Computing Facilities in BSUIR</w:t>
            </w:r>
          </w:p>
        </w:tc>
      </w:tr>
      <w:tr>
        <w:trPr/>
        <w:tc>
          <w:tcPr>
            <w:tcW w:w="4442" w:type="dxa"/>
            <w:tcBorders/>
            <w:shd w:color="auto" w:fill="auto" w:val="clear"/>
          </w:tcPr>
          <w:p>
            <w:pPr>
              <w:pStyle w:val="Normal"/>
              <w:widowControl w:val="false"/>
              <w:tabs>
                <w:tab w:val="left" w:pos="709" w:leader="none"/>
              </w:tabs>
              <w:spacing w:before="0" w:after="120"/>
              <w:jc w:val="center"/>
              <w:rPr/>
            </w:pPr>
            <w:r>
              <w:rPr>
                <w:rFonts w:eastAsia="Times New Roman"/>
                <w:b/>
                <w:lang w:val="ru-RU"/>
              </w:rPr>
              <w:t>Адрес для корреспонденции</w:t>
            </w:r>
          </w:p>
          <w:p>
            <w:pPr>
              <w:pStyle w:val="Default"/>
              <w:widowControl w:val="false"/>
              <w:jc w:val="both"/>
              <w:rPr>
                <w:lang w:val="ru-RU"/>
              </w:rPr>
            </w:pPr>
            <w:r>
              <w:rPr>
                <w:sz w:val="20"/>
                <w:szCs w:val="20"/>
                <w:lang w:val="ru-RU"/>
              </w:rPr>
              <w:t>220013, Республика Беларусь, г. Минск, ул. П. Бровки, д. 6, Белорусский государственный университет информатики и радиоэлектроники</w:t>
            </w:r>
          </w:p>
          <w:p>
            <w:pPr>
              <w:pStyle w:val="Default"/>
              <w:widowControl w:val="false"/>
              <w:jc w:val="both"/>
              <w:rPr/>
            </w:pPr>
            <w:r>
              <w:rPr>
                <w:sz w:val="20"/>
                <w:szCs w:val="20"/>
                <w:lang w:val="ru-RU"/>
              </w:rPr>
              <w:t>тел</w:t>
            </w:r>
            <w:r>
              <w:rPr>
                <w:sz w:val="20"/>
                <w:szCs w:val="20"/>
              </w:rPr>
              <w:t>. +375-17-293-84-78;</w:t>
            </w:r>
          </w:p>
          <w:p>
            <w:pPr>
              <w:pStyle w:val="Default"/>
              <w:widowControl w:val="false"/>
              <w:jc w:val="both"/>
              <w:rPr/>
            </w:pPr>
            <w:r>
              <w:rPr>
                <w:sz w:val="20"/>
                <w:szCs w:val="20"/>
              </w:rPr>
              <w:t>e-mail: vashkevich@bsuir.by</w:t>
            </w:r>
          </w:p>
          <w:p>
            <w:pPr>
              <w:pStyle w:val="Normal"/>
              <w:widowControl w:val="false"/>
              <w:jc w:val="both"/>
              <w:rPr/>
            </w:pPr>
            <w:r>
              <w:rPr>
                <w:lang w:val="ru-RU"/>
              </w:rPr>
              <w:t>Вашкевич Максим Иосифович</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pPr>
            <w:r>
              <w:rPr>
                <w:rFonts w:eastAsia="Times New Roman"/>
                <w:b/>
              </w:rPr>
              <w:t>Address for correspondence</w:t>
            </w:r>
          </w:p>
          <w:p>
            <w:pPr>
              <w:pStyle w:val="Default"/>
              <w:widowControl w:val="false"/>
              <w:jc w:val="both"/>
              <w:rPr/>
            </w:pPr>
            <w:r>
              <w:rPr>
                <w:sz w:val="20"/>
                <w:szCs w:val="20"/>
              </w:rPr>
              <w:t>220013, Republic of Belarus, Minsk, P. Brovki str., 6, Belarusian State University of Informatics and Radioelectronics</w:t>
            </w:r>
          </w:p>
          <w:p>
            <w:pPr>
              <w:pStyle w:val="Default"/>
              <w:widowControl w:val="false"/>
              <w:jc w:val="both"/>
              <w:rPr/>
            </w:pPr>
            <w:r>
              <w:rPr>
                <w:sz w:val="20"/>
                <w:szCs w:val="20"/>
              </w:rPr>
              <w:t>tel. +375-17-293-84-78;</w:t>
            </w:r>
          </w:p>
          <w:p>
            <w:pPr>
              <w:pStyle w:val="Default"/>
              <w:widowControl w:val="false"/>
              <w:jc w:val="both"/>
              <w:rPr/>
            </w:pPr>
            <w:r>
              <w:rPr>
                <w:sz w:val="20"/>
                <w:szCs w:val="20"/>
              </w:rPr>
              <w:t>e-mail: vashkevich@bsuir.by</w:t>
            </w:r>
          </w:p>
          <w:p>
            <w:pPr>
              <w:pStyle w:val="Normal"/>
              <w:widowControl w:val="false"/>
              <w:jc w:val="both"/>
              <w:rPr/>
            </w:pPr>
            <w:r>
              <w:rPr>
                <w:lang w:val="en-US"/>
              </w:rPr>
              <w:t>Vashkevich Maksim Iosifovich</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ectPr>
      <w:headerReference w:type="default" r:id="rId11"/>
      <w:type w:val="nextPage"/>
      <w:pgSz w:w="11906" w:h="16838"/>
      <w:pgMar w:left="1440" w:right="1423" w:gutter="0" w:header="709" w:top="1418" w:footer="0"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000000"/>
      </w:pBdr>
      <w:tabs>
        <w:tab w:val="left" w:pos="709" w:leader="none"/>
        <w:tab w:val="left" w:pos="3828" w:leader="none"/>
        <w:tab w:val="left" w:pos="7655" w:leader="none"/>
      </w:tabs>
      <w:jc w:val="both"/>
      <w:rPr>
        <w:rFonts w:eastAsia="Times New Roman"/>
        <w:i/>
        <w:i/>
        <w:smallCaps/>
        <w:sz w:val="18"/>
        <w:lang w:eastAsia="ru-RU"/>
      </w:rPr>
    </w:pPr>
    <w:r>
      <w:rPr>
        <w:rFonts w:eastAsia="Times New Roman"/>
        <w:i/>
        <w:smallCaps/>
        <w:sz w:val="18"/>
        <w:lang w:eastAsia="ru-RU"/>
      </w:rPr>
      <w:t>Доклады БГУИР</w:t>
      <w:tab/>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tab/>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89" w:hanging="360"/>
      </w:pPr>
      <w:rPr/>
    </w:lvl>
    <w:lvl w:ilvl="1">
      <w:start w:val="1"/>
      <w:numFmt w:val="lowerLetter"/>
      <w:lvlText w:val="%2."/>
      <w:lvlJc w:val="left"/>
      <w:pPr>
        <w:tabs>
          <w:tab w:val="num" w:pos="0"/>
        </w:tabs>
        <w:ind w:left="1809" w:hanging="360"/>
      </w:pPr>
      <w:rPr/>
    </w:lvl>
    <w:lvl w:ilvl="2">
      <w:start w:val="1"/>
      <w:numFmt w:val="lowerRoman"/>
      <w:lvlText w:val="%3."/>
      <w:lvlJc w:val="right"/>
      <w:pPr>
        <w:tabs>
          <w:tab w:val="num" w:pos="0"/>
        </w:tabs>
        <w:ind w:left="2529" w:hanging="180"/>
      </w:pPr>
      <w:rPr/>
    </w:lvl>
    <w:lvl w:ilvl="3">
      <w:start w:val="1"/>
      <w:numFmt w:val="decimal"/>
      <w:lvlText w:val="%4."/>
      <w:lvlJc w:val="left"/>
      <w:pPr>
        <w:tabs>
          <w:tab w:val="num" w:pos="0"/>
        </w:tabs>
        <w:ind w:left="3249" w:hanging="360"/>
      </w:pPr>
      <w:rPr/>
    </w:lvl>
    <w:lvl w:ilvl="4">
      <w:start w:val="1"/>
      <w:numFmt w:val="lowerLetter"/>
      <w:lvlText w:val="%5."/>
      <w:lvlJc w:val="left"/>
      <w:pPr>
        <w:tabs>
          <w:tab w:val="num" w:pos="0"/>
        </w:tabs>
        <w:ind w:left="3969" w:hanging="360"/>
      </w:pPr>
      <w:rPr/>
    </w:lvl>
    <w:lvl w:ilvl="5">
      <w:start w:val="1"/>
      <w:numFmt w:val="lowerRoman"/>
      <w:lvlText w:val="%6."/>
      <w:lvlJc w:val="right"/>
      <w:pPr>
        <w:tabs>
          <w:tab w:val="num" w:pos="0"/>
        </w:tabs>
        <w:ind w:left="4689" w:hanging="180"/>
      </w:pPr>
      <w:rPr/>
    </w:lvl>
    <w:lvl w:ilvl="6">
      <w:start w:val="1"/>
      <w:numFmt w:val="decimal"/>
      <w:lvlText w:val="%7."/>
      <w:lvlJc w:val="left"/>
      <w:pPr>
        <w:tabs>
          <w:tab w:val="num" w:pos="0"/>
        </w:tabs>
        <w:ind w:left="5409" w:hanging="360"/>
      </w:pPr>
      <w:rPr/>
    </w:lvl>
    <w:lvl w:ilvl="7">
      <w:start w:val="1"/>
      <w:numFmt w:val="lowerLetter"/>
      <w:lvlText w:val="%8."/>
      <w:lvlJc w:val="left"/>
      <w:pPr>
        <w:tabs>
          <w:tab w:val="num" w:pos="0"/>
        </w:tabs>
        <w:ind w:left="6129" w:hanging="360"/>
      </w:pPr>
      <w:rPr/>
    </w:lvl>
    <w:lvl w:ilvl="8">
      <w:start w:val="1"/>
      <w:numFmt w:val="lowerRoman"/>
      <w:lvlText w:val="%9."/>
      <w:lvlJc w:val="right"/>
      <w:pPr>
        <w:tabs>
          <w:tab w:val="num" w:pos="0"/>
        </w:tabs>
        <w:ind w:left="6849" w:hanging="180"/>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3df"/>
    <w:pPr>
      <w:widowControl/>
      <w:suppressAutoHyphens w:val="true"/>
      <w:bidi w:val="0"/>
      <w:spacing w:before="0" w:after="0"/>
      <w:jc w:val="left"/>
    </w:pPr>
    <w:rPr>
      <w:rFonts w:ascii="Times New Roman" w:hAnsi="Times New Roman" w:eastAsia="Calibri" w:cs="Times New Roman"/>
      <w:color w:val="auto"/>
      <w:kern w:val="0"/>
      <w:sz w:val="20"/>
      <w:szCs w:val="20"/>
      <w:lang w:val="be-BY" w:eastAsia="en-US" w:bidi="ar-SA"/>
    </w:rPr>
  </w:style>
  <w:style w:type="paragraph" w:styleId="Heading1">
    <w:name w:val="Heading 1"/>
    <w:basedOn w:val="Normal"/>
    <w:next w:val="Normal"/>
    <w:link w:val="1"/>
    <w:qFormat/>
    <w:rsid w:val="00b92269"/>
    <w:pPr>
      <w:keepNext w:val="true"/>
      <w:keepLines/>
      <w:pageBreakBefore/>
      <w:numPr>
        <w:ilvl w:val="0"/>
        <w:numId w:val="1"/>
      </w:numPr>
      <w:shd w:val="clear" w:color="auto" w:fill="E2EFD9" w:themeFill="accent6" w:themeFillTint="33"/>
      <w:spacing w:lineRule="auto" w:line="259" w:before="240" w:after="0"/>
      <w:ind w:hanging="431" w:left="431"/>
      <w:jc w:val="both"/>
      <w:outlineLvl w:val="0"/>
    </w:pPr>
    <w:rPr>
      <w:rFonts w:eastAsia="" w:cs="" w:cstheme="majorBidi" w:eastAsiaTheme="majorEastAsia"/>
      <w:b/>
      <w:color w:themeColor="text1" w:val="000000"/>
      <w:sz w:val="32"/>
      <w:szCs w:val="32"/>
      <w:lang w:val="ru-RU"/>
    </w:rPr>
  </w:style>
  <w:style w:type="paragraph" w:styleId="Heading2">
    <w:name w:val="Heading 2"/>
    <w:basedOn w:val="Normal"/>
    <w:next w:val="Normal"/>
    <w:link w:val="2"/>
    <w:unhideWhenUsed/>
    <w:qFormat/>
    <w:rsid w:val="00b92269"/>
    <w:pPr>
      <w:keepNext w:val="true"/>
      <w:keepLines/>
      <w:numPr>
        <w:ilvl w:val="1"/>
        <w:numId w:val="1"/>
      </w:numPr>
      <w:shd w:val="clear" w:color="auto" w:fill="BDD6EE" w:themeFill="accent1" w:themeFillTint="66"/>
      <w:spacing w:lineRule="auto" w:line="259" w:before="120" w:after="120"/>
      <w:jc w:val="both"/>
      <w:outlineLvl w:val="1"/>
    </w:pPr>
    <w:rPr>
      <w:rFonts w:ascii="Tahoma" w:hAnsi="Tahoma" w:eastAsia="" w:cs="" w:cstheme="majorBidi" w:eastAsiaTheme="majorEastAsia"/>
      <w:b/>
      <w:color w:themeColor="text1" w:val="000000"/>
      <w:sz w:val="24"/>
      <w:szCs w:val="26"/>
      <w:lang w:val="ru-RU"/>
    </w:rPr>
  </w:style>
  <w:style w:type="paragraph" w:styleId="Heading3">
    <w:name w:val="Heading 3"/>
    <w:basedOn w:val="Normal"/>
    <w:next w:val="Normal"/>
    <w:link w:val="3"/>
    <w:unhideWhenUsed/>
    <w:qFormat/>
    <w:rsid w:val="00b92269"/>
    <w:pPr>
      <w:keepNext w:val="true"/>
      <w:keepLines/>
      <w:numPr>
        <w:ilvl w:val="2"/>
        <w:numId w:val="1"/>
      </w:numPr>
      <w:spacing w:lineRule="auto" w:line="259" w:before="80" w:after="40"/>
      <w:jc w:val="both"/>
      <w:outlineLvl w:val="2"/>
    </w:pPr>
    <w:rPr>
      <w:rFonts w:ascii="Calibri Light" w:hAnsi="Calibri Light" w:eastAsia="" w:cs="" w:asciiTheme="majorHAnsi" w:cstheme="majorBidi" w:eastAsiaTheme="majorEastAsia" w:hAnsiTheme="majorHAnsi"/>
      <w:b/>
      <w:i/>
      <w:color w:themeColor="accent1" w:themeShade="7f" w:val="1F4D78"/>
      <w:sz w:val="26"/>
      <w:szCs w:val="24"/>
      <w:lang w:val="ru-RU"/>
    </w:rPr>
  </w:style>
  <w:style w:type="paragraph" w:styleId="Heading5">
    <w:name w:val="Heading 5"/>
    <w:basedOn w:val="Normal"/>
    <w:next w:val="Normal"/>
    <w:link w:val="5"/>
    <w:unhideWhenUsed/>
    <w:qFormat/>
    <w:rsid w:val="00b92269"/>
    <w:pPr>
      <w:keepNext w:val="true"/>
      <w:keepLines/>
      <w:numPr>
        <w:ilvl w:val="4"/>
        <w:numId w:val="1"/>
      </w:numPr>
      <w:spacing w:lineRule="auto" w:line="259" w:before="40" w:after="0"/>
      <w:jc w:val="both"/>
      <w:outlineLvl w:val="4"/>
    </w:pPr>
    <w:rPr>
      <w:rFonts w:ascii="Calibri Light" w:hAnsi="Calibri Light" w:eastAsia="" w:cs="" w:asciiTheme="majorHAnsi" w:cstheme="majorBidi" w:eastAsiaTheme="majorEastAsia" w:hAnsiTheme="majorHAnsi"/>
      <w:color w:themeColor="accent1" w:themeShade="bf" w:val="2E74B5"/>
      <w:sz w:val="28"/>
      <w:szCs w:val="22"/>
      <w:lang w:val="ru-RU"/>
    </w:rPr>
  </w:style>
  <w:style w:type="paragraph" w:styleId="Heading6">
    <w:name w:val="Heading 6"/>
    <w:basedOn w:val="Normal"/>
    <w:next w:val="Normal"/>
    <w:link w:val="6"/>
    <w:unhideWhenUsed/>
    <w:qFormat/>
    <w:rsid w:val="00b92269"/>
    <w:pPr>
      <w:keepNext w:val="true"/>
      <w:keepLines/>
      <w:numPr>
        <w:ilvl w:val="5"/>
        <w:numId w:val="1"/>
      </w:numPr>
      <w:spacing w:lineRule="auto" w:line="259" w:before="40" w:after="0"/>
      <w:jc w:val="both"/>
      <w:outlineLvl w:val="5"/>
    </w:pPr>
    <w:rPr>
      <w:rFonts w:ascii="Calibri Light" w:hAnsi="Calibri Light" w:eastAsia="" w:cs="" w:asciiTheme="majorHAnsi" w:cstheme="majorBidi" w:eastAsiaTheme="majorEastAsia" w:hAnsiTheme="majorHAnsi"/>
      <w:color w:themeColor="accent1" w:themeShade="7f" w:val="1F4D78"/>
      <w:sz w:val="28"/>
      <w:szCs w:val="22"/>
      <w:lang w:val="ru-RU"/>
    </w:rPr>
  </w:style>
  <w:style w:type="paragraph" w:styleId="Heading7">
    <w:name w:val="Heading 7"/>
    <w:basedOn w:val="Normal"/>
    <w:next w:val="Normal"/>
    <w:link w:val="7"/>
    <w:unhideWhenUsed/>
    <w:qFormat/>
    <w:rsid w:val="00b92269"/>
    <w:pPr>
      <w:keepNext w:val="true"/>
      <w:keepLines/>
      <w:numPr>
        <w:ilvl w:val="6"/>
        <w:numId w:val="1"/>
      </w:numPr>
      <w:spacing w:lineRule="auto" w:line="259" w:before="40" w:after="0"/>
      <w:jc w:val="both"/>
      <w:outlineLvl w:val="6"/>
    </w:pPr>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paragraph" w:styleId="Heading8">
    <w:name w:val="Heading 8"/>
    <w:basedOn w:val="Normal"/>
    <w:next w:val="Normal"/>
    <w:link w:val="8"/>
    <w:unhideWhenUsed/>
    <w:qFormat/>
    <w:rsid w:val="00b92269"/>
    <w:pPr>
      <w:keepNext w:val="true"/>
      <w:keepLines/>
      <w:numPr>
        <w:ilvl w:val="7"/>
        <w:numId w:val="1"/>
      </w:numPr>
      <w:spacing w:lineRule="auto" w:line="259" w:before="40" w:after="0"/>
      <w:jc w:val="both"/>
      <w:outlineLvl w:val="7"/>
    </w:pPr>
    <w:rPr>
      <w:rFonts w:ascii="Calibri Light" w:hAnsi="Calibri Light" w:eastAsia="" w:cs="" w:asciiTheme="majorHAnsi" w:cstheme="majorBidi" w:eastAsiaTheme="majorEastAsia" w:hAnsiTheme="majorHAnsi"/>
      <w:color w:themeColor="text1" w:themeTint="d8" w:val="272727"/>
      <w:sz w:val="21"/>
      <w:szCs w:val="21"/>
      <w:lang w:val="ru-RU"/>
    </w:rPr>
  </w:style>
  <w:style w:type="paragraph" w:styleId="Heading9">
    <w:name w:val="Heading 9"/>
    <w:basedOn w:val="Normal"/>
    <w:next w:val="Normal"/>
    <w:link w:val="9"/>
    <w:unhideWhenUsed/>
    <w:qFormat/>
    <w:rsid w:val="00b92269"/>
    <w:pPr>
      <w:keepNext w:val="true"/>
      <w:keepLines/>
      <w:numPr>
        <w:ilvl w:val="8"/>
        <w:numId w:val="1"/>
      </w:numPr>
      <w:spacing w:lineRule="auto" w:line="259" w:before="40" w:after="0"/>
      <w:jc w:val="both"/>
      <w:outlineLvl w:val="8"/>
    </w:pPr>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DefaultParagraphFont" w:default="1">
    <w:name w:val="Default Paragraph Font"/>
    <w:uiPriority w:val="1"/>
    <w:semiHidden/>
    <w:unhideWhenUsed/>
    <w:qFormat/>
    <w:rPr/>
  </w:style>
  <w:style w:type="character" w:styleId="Style6" w:customStyle="1">
    <w:name w:val="Текст выноски Знак"/>
    <w:link w:val="BalloonText"/>
    <w:uiPriority w:val="99"/>
    <w:semiHidden/>
    <w:qFormat/>
    <w:rsid w:val="004d03df"/>
    <w:rPr>
      <w:rFonts w:ascii="Tahoma" w:hAnsi="Tahoma" w:eastAsia="Calibri" w:cs="Tahoma"/>
      <w:sz w:val="16"/>
      <w:szCs w:val="16"/>
      <w:lang w:val="be-BY"/>
    </w:rPr>
  </w:style>
  <w:style w:type="character" w:styleId="Style7" w:customStyle="1">
    <w:name w:val="Верхний колонтитул Знак"/>
    <w:link w:val="Header"/>
    <w:uiPriority w:val="99"/>
    <w:qFormat/>
    <w:rsid w:val="008a6551"/>
    <w:rPr>
      <w:rFonts w:ascii="Times New Roman" w:hAnsi="Times New Roman"/>
      <w:lang w:val="be-BY" w:eastAsia="en-US"/>
    </w:rPr>
  </w:style>
  <w:style w:type="character" w:styleId="Style8" w:customStyle="1">
    <w:name w:val="Нижний колонтитул Знак"/>
    <w:link w:val="Footer"/>
    <w:uiPriority w:val="99"/>
    <w:qFormat/>
    <w:rsid w:val="008a6551"/>
    <w:rPr>
      <w:rFonts w:ascii="Times New Roman" w:hAnsi="Times New Roman"/>
      <w:lang w:val="be-BY" w:eastAsia="en-US"/>
    </w:rPr>
  </w:style>
  <w:style w:type="character" w:styleId="Hyperlink">
    <w:name w:val="Hyperlink"/>
    <w:uiPriority w:val="99"/>
    <w:unhideWhenUsed/>
    <w:rsid w:val="008a6551"/>
    <w:rPr>
      <w:color w:val="0563C1"/>
      <w:u w:val="single"/>
    </w:rPr>
  </w:style>
  <w:style w:type="character" w:styleId="PlaceholderText">
    <w:name w:val="Placeholder Text"/>
    <w:basedOn w:val="DefaultParagraphFont"/>
    <w:uiPriority w:val="99"/>
    <w:semiHidden/>
    <w:qFormat/>
    <w:rsid w:val="00446413"/>
    <w:rPr>
      <w:color w:val="808080"/>
    </w:rPr>
  </w:style>
  <w:style w:type="character" w:styleId="Style9" w:customStyle="1">
    <w:name w:val="ОСновной Знак"/>
    <w:basedOn w:val="DefaultParagraphFont"/>
    <w:link w:val="Style11"/>
    <w:qFormat/>
    <w:rsid w:val="007a3855"/>
    <w:rPr>
      <w:rFonts w:ascii="Times New Roman" w:hAnsi="Times New Roman" w:eastAsia="Times New Roman"/>
      <w:sz w:val="22"/>
      <w:szCs w:val="22"/>
      <w:shd w:fill="FFFFFF" w:val="clear"/>
      <w:lang w:val="ru-RU"/>
    </w:rPr>
  </w:style>
  <w:style w:type="character" w:styleId="1" w:customStyle="1">
    <w:name w:val="Заголовок 1 Знак"/>
    <w:basedOn w:val="DefaultParagraphFont"/>
    <w:link w:val="Heading1"/>
    <w:qFormat/>
    <w:rsid w:val="00b92269"/>
    <w:rPr>
      <w:rFonts w:ascii="Times New Roman" w:hAnsi="Times New Roman" w:eastAsia="" w:cs="" w:cstheme="majorBidi" w:eastAsiaTheme="majorEastAsia"/>
      <w:b/>
      <w:color w:themeColor="text1" w:val="000000"/>
      <w:sz w:val="32"/>
      <w:szCs w:val="32"/>
      <w:shd w:fill="E2EFD9" w:val="clear"/>
      <w:lang w:val="ru-RU"/>
    </w:rPr>
  </w:style>
  <w:style w:type="character" w:styleId="2" w:customStyle="1">
    <w:name w:val="Заголовок 2 Знак"/>
    <w:basedOn w:val="DefaultParagraphFont"/>
    <w:link w:val="Heading2"/>
    <w:qFormat/>
    <w:rsid w:val="00b92269"/>
    <w:rPr>
      <w:rFonts w:ascii="Tahoma" w:hAnsi="Tahoma" w:eastAsia="" w:cs="" w:cstheme="majorBidi" w:eastAsiaTheme="majorEastAsia"/>
      <w:b/>
      <w:color w:themeColor="text1" w:val="000000"/>
      <w:sz w:val="24"/>
      <w:szCs w:val="26"/>
      <w:shd w:fill="BDD6EE" w:val="clear"/>
      <w:lang w:val="ru-RU"/>
    </w:rPr>
  </w:style>
  <w:style w:type="character" w:styleId="3" w:customStyle="1">
    <w:name w:val="Заголовок 3 Знак"/>
    <w:basedOn w:val="DefaultParagraphFont"/>
    <w:link w:val="Heading3"/>
    <w:qFormat/>
    <w:rsid w:val="00b92269"/>
    <w:rPr>
      <w:rFonts w:ascii="Calibri Light" w:hAnsi="Calibri Light" w:eastAsia="" w:cs="" w:asciiTheme="majorHAnsi" w:cstheme="majorBidi" w:eastAsiaTheme="majorEastAsia" w:hAnsiTheme="majorHAnsi"/>
      <w:b/>
      <w:i/>
      <w:color w:themeColor="accent1" w:themeShade="7f" w:val="1F4D78"/>
      <w:sz w:val="26"/>
      <w:szCs w:val="24"/>
      <w:lang w:val="ru-RU"/>
    </w:rPr>
  </w:style>
  <w:style w:type="character" w:styleId="5" w:customStyle="1">
    <w:name w:val="Заголовок 5 Знак"/>
    <w:basedOn w:val="DefaultParagraphFont"/>
    <w:link w:val="Heading5"/>
    <w:qFormat/>
    <w:rsid w:val="00b92269"/>
    <w:rPr>
      <w:rFonts w:ascii="Calibri Light" w:hAnsi="Calibri Light" w:eastAsia="" w:cs="" w:asciiTheme="majorHAnsi" w:cstheme="majorBidi" w:eastAsiaTheme="majorEastAsia" w:hAnsiTheme="majorHAnsi"/>
      <w:color w:themeColor="accent1" w:themeShade="bf" w:val="2E74B5"/>
      <w:sz w:val="28"/>
      <w:szCs w:val="22"/>
      <w:lang w:val="ru-RU"/>
    </w:rPr>
  </w:style>
  <w:style w:type="character" w:styleId="6" w:customStyle="1">
    <w:name w:val="Заголовок 6 Знак"/>
    <w:basedOn w:val="DefaultParagraphFont"/>
    <w:link w:val="Heading6"/>
    <w:qFormat/>
    <w:rsid w:val="00b92269"/>
    <w:rPr>
      <w:rFonts w:ascii="Calibri Light" w:hAnsi="Calibri Light" w:eastAsia="" w:cs="" w:asciiTheme="majorHAnsi" w:cstheme="majorBidi" w:eastAsiaTheme="majorEastAsia" w:hAnsiTheme="majorHAnsi"/>
      <w:color w:themeColor="accent1" w:themeShade="7f" w:val="1F4D78"/>
      <w:sz w:val="28"/>
      <w:szCs w:val="22"/>
      <w:lang w:val="ru-RU"/>
    </w:rPr>
  </w:style>
  <w:style w:type="character" w:styleId="7" w:customStyle="1">
    <w:name w:val="Заголовок 7 Знак"/>
    <w:basedOn w:val="DefaultParagraphFont"/>
    <w:link w:val="Heading7"/>
    <w:qFormat/>
    <w:rsid w:val="00b92269"/>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character" w:styleId="8" w:customStyle="1">
    <w:name w:val="Заголовок 8 Знак"/>
    <w:basedOn w:val="DefaultParagraphFont"/>
    <w:link w:val="Heading8"/>
    <w:qFormat/>
    <w:rsid w:val="00b92269"/>
    <w:rPr>
      <w:rFonts w:ascii="Calibri Light" w:hAnsi="Calibri Light" w:eastAsia="" w:cs="" w:asciiTheme="majorHAnsi" w:cstheme="majorBidi" w:eastAsiaTheme="majorEastAsia" w:hAnsiTheme="majorHAnsi"/>
      <w:color w:themeColor="text1" w:themeTint="d8" w:val="272727"/>
      <w:sz w:val="21"/>
      <w:szCs w:val="21"/>
      <w:lang w:val="ru-RU"/>
    </w:rPr>
  </w:style>
  <w:style w:type="character" w:styleId="9" w:customStyle="1">
    <w:name w:val="Заголовок 9 Знак"/>
    <w:basedOn w:val="DefaultParagraphFont"/>
    <w:link w:val="Heading9"/>
    <w:qFormat/>
    <w:rsid w:val="00b92269"/>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Style10" w:customStyle="1">
    <w:name w:val="Текст сноски Знак"/>
    <w:basedOn w:val="DefaultParagraphFont"/>
    <w:link w:val="FootnoteText"/>
    <w:uiPriority w:val="99"/>
    <w:qFormat/>
    <w:rsid w:val="00b92269"/>
    <w:rPr>
      <w:rFonts w:ascii="Times New Roman" w:hAnsi="Times New Roman" w:eastAsia="Calibri" w:cs="" w:cstheme="minorBidi" w:eastAsiaTheme="minorHAnsi"/>
      <w:lang w:val="ru-RU"/>
    </w:rPr>
  </w:style>
  <w:style w:type="character" w:styleId="FootnoteCharacters" w:customStyle="1">
    <w:name w:val="Footnote Characters"/>
    <w:uiPriority w:val="99"/>
    <w:semiHidden/>
    <w:unhideWhenUsed/>
    <w:qFormat/>
    <w:rsid w:val="00b92269"/>
    <w:rPr>
      <w:vertAlign w:val="superscript"/>
    </w:rPr>
  </w:style>
  <w:style w:type="character" w:styleId="FootnoteReference">
    <w:name w:val="Footnote Reference"/>
    <w:rPr>
      <w:vertAlign w:val="superscript"/>
    </w:rPr>
  </w:style>
  <w:style w:type="character" w:styleId="Emphasis">
    <w:name w:val="Emphasis"/>
    <w:basedOn w:val="DefaultParagraphFont"/>
    <w:uiPriority w:val="20"/>
    <w:qFormat/>
    <w:rsid w:val="00b26045"/>
    <w:rPr>
      <w:i/>
      <w:iCs/>
      <w:sz w:val="22"/>
    </w:rPr>
  </w:style>
  <w:style w:type="character" w:styleId="Jlqj4b" w:customStyle="1">
    <w:name w:val="jlqj4b"/>
    <w:basedOn w:val="DefaultParagraphFont"/>
    <w:qFormat/>
    <w:rsid w:val="00fb0d6d"/>
    <w:rPr/>
  </w:style>
  <w:style w:type="character" w:styleId="NumberingSymbols" w:customStyle="1">
    <w:name w:val="Numbering Symbols"/>
    <w:qFormat/>
    <w:rPr/>
  </w:style>
  <w:style w:type="character" w:styleId="Strong">
    <w:name w:val="Strong"/>
    <w:basedOn w:val="DefaultParagraphFont"/>
    <w:uiPriority w:val="22"/>
    <w:qFormat/>
    <w:rsid w:val="00301379"/>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Caption111" w:customStyle="1">
    <w:name w:val="caption111"/>
    <w:basedOn w:val="Normal"/>
    <w:next w:val="Normal"/>
    <w:uiPriority w:val="35"/>
    <w:semiHidden/>
    <w:unhideWhenUsed/>
    <w:qFormat/>
    <w:rsid w:val="006c722a"/>
    <w:pPr>
      <w:spacing w:before="0" w:after="200"/>
    </w:pPr>
    <w:rPr>
      <w:i/>
      <w:iCs/>
      <w:color w:themeColor="text2" w:val="44546A"/>
      <w:sz w:val="18"/>
      <w:szCs w:val="18"/>
    </w:rPr>
  </w:style>
  <w:style w:type="paragraph" w:styleId="BalloonText">
    <w:name w:val="Balloon Text"/>
    <w:basedOn w:val="Normal"/>
    <w:link w:val="Style6"/>
    <w:uiPriority w:val="99"/>
    <w:semiHidden/>
    <w:unhideWhenUsed/>
    <w:qFormat/>
    <w:rsid w:val="004d03d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Style7"/>
    <w:uiPriority w:val="99"/>
    <w:unhideWhenUsed/>
    <w:rsid w:val="008a6551"/>
    <w:pPr>
      <w:tabs>
        <w:tab w:val="clear" w:pos="709"/>
        <w:tab w:val="center" w:pos="4677" w:leader="none"/>
        <w:tab w:val="right" w:pos="9355" w:leader="none"/>
      </w:tabs>
    </w:pPr>
    <w:rPr/>
  </w:style>
  <w:style w:type="paragraph" w:styleId="Footer">
    <w:name w:val="Footer"/>
    <w:basedOn w:val="Normal"/>
    <w:link w:val="Style8"/>
    <w:uiPriority w:val="99"/>
    <w:unhideWhenUsed/>
    <w:rsid w:val="008a6551"/>
    <w:pPr>
      <w:tabs>
        <w:tab w:val="clear" w:pos="709"/>
        <w:tab w:val="center" w:pos="4677" w:leader="none"/>
        <w:tab w:val="right" w:pos="9355" w:leader="none"/>
      </w:tabs>
    </w:pPr>
    <w:rPr/>
  </w:style>
  <w:style w:type="paragraph" w:styleId="37" w:customStyle="1">
    <w:name w:val="Знак Знак37"/>
    <w:basedOn w:val="Normal"/>
    <w:autoRedefine/>
    <w:qFormat/>
    <w:rsid w:val="00803a43"/>
    <w:pPr/>
    <w:rPr>
      <w:rFonts w:ascii="Arial" w:hAnsi="Arial" w:eastAsia="Times New Roman" w:cs="Arial"/>
      <w:lang w:val="en-ZA" w:eastAsia="en-ZA"/>
    </w:rPr>
  </w:style>
  <w:style w:type="paragraph" w:styleId="Style11" w:customStyle="1">
    <w:name w:val="ОСновной"/>
    <w:basedOn w:val="Normal"/>
    <w:link w:val="Style9"/>
    <w:qFormat/>
    <w:rsid w:val="007a3855"/>
    <w:pPr>
      <w:shd w:val="clear" w:color="auto" w:fill="FFFFFF"/>
      <w:ind w:firstLine="709"/>
      <w:jc w:val="both"/>
    </w:pPr>
    <w:rPr>
      <w:rFonts w:eastAsia="Times New Roman"/>
      <w:sz w:val="22"/>
      <w:szCs w:val="22"/>
      <w:lang w:val="ru-RU"/>
    </w:rPr>
  </w:style>
  <w:style w:type="paragraph" w:styleId="Default" w:customStyle="1">
    <w:name w:val="Default"/>
    <w:qFormat/>
    <w:rsid w:val="003e4a92"/>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ootnoteText">
    <w:name w:val="Footnote Text"/>
    <w:basedOn w:val="Normal"/>
    <w:link w:val="Style10"/>
    <w:uiPriority w:val="99"/>
    <w:unhideWhenUsed/>
    <w:rsid w:val="00b92269"/>
    <w:pPr>
      <w:ind w:firstLine="709"/>
      <w:jc w:val="both"/>
    </w:pPr>
    <w:rPr>
      <w:rFonts w:eastAsia="Calibri" w:cs="" w:cstheme="minorBidi" w:eastAsiaTheme="minorHAnsi"/>
      <w:lang w:val="ru-RU"/>
    </w:rPr>
  </w:style>
  <w:style w:type="paragraph" w:styleId="Style12" w:customStyle="1">
    <w:name w:val="Рисунок"/>
    <w:basedOn w:val="Normal"/>
    <w:next w:val="Normal"/>
    <w:qFormat/>
    <w:rsid w:val="00b92269"/>
    <w:pPr>
      <w:spacing w:lineRule="auto" w:line="259" w:before="60" w:after="60"/>
      <w:jc w:val="center"/>
    </w:pPr>
    <w:rPr>
      <w:rFonts w:eastAsia="Calibri" w:cs="" w:cstheme="minorBidi" w:eastAsiaTheme="minorHAnsi"/>
      <w:sz w:val="22"/>
      <w:szCs w:val="22"/>
      <w:lang w:val="ru-RU"/>
    </w:rPr>
  </w:style>
  <w:style w:type="paragraph" w:styleId="Style13" w:customStyle="1">
    <w:name w:val="Формула"/>
    <w:basedOn w:val="Normal"/>
    <w:next w:val="Normal"/>
    <w:qFormat/>
    <w:rsid w:val="00b92269"/>
    <w:pPr>
      <w:spacing w:lineRule="auto" w:line="259" w:before="120" w:after="120"/>
      <w:jc w:val="center"/>
    </w:pPr>
    <w:rPr>
      <w:rFonts w:eastAsia="" w:cs="" w:cstheme="minorBidi" w:eastAsiaTheme="minorEastAsia"/>
      <w:sz w:val="22"/>
      <w:szCs w:val="22"/>
      <w:lang w:val="ru-RU"/>
    </w:rPr>
  </w:style>
  <w:style w:type="paragraph" w:styleId="Style14" w:customStyle="1">
    <w:name w:val="Обычный_без_отступа"/>
    <w:basedOn w:val="Normal"/>
    <w:next w:val="Normal"/>
    <w:qFormat/>
    <w:rsid w:val="00b92269"/>
    <w:pPr>
      <w:spacing w:lineRule="auto" w:line="259"/>
      <w:jc w:val="both"/>
    </w:pPr>
    <w:rPr>
      <w:rFonts w:eastAsia="Calibri" w:cs="" w:cstheme="minorBidi" w:eastAsiaTheme="minorHAnsi"/>
      <w:sz w:val="22"/>
      <w:szCs w:val="22"/>
      <w:lang w:val="ru-RU"/>
    </w:rPr>
  </w:style>
  <w:style w:type="paragraph" w:styleId="Style15" w:customStyle="1">
    <w:name w:val="Формула номер"/>
    <w:qFormat/>
    <w:rsid w:val="00b92269"/>
    <w:pPr>
      <w:widowControl/>
      <w:suppressAutoHyphens w:val="true"/>
      <w:bidi w:val="0"/>
      <w:spacing w:lineRule="auto" w:line="288" w:before="120" w:after="120"/>
      <w:jc w:val="right"/>
    </w:pPr>
    <w:rPr>
      <w:rFonts w:ascii="Times New Roman" w:hAnsi="Times New Roman" w:eastAsia="" w:cs="" w:cstheme="minorBidi" w:eastAsiaTheme="minorEastAsia"/>
      <w:color w:val="auto"/>
      <w:kern w:val="0"/>
      <w:sz w:val="22"/>
      <w:szCs w:val="22"/>
      <w:lang w:val="ru-RU" w:eastAsia="en-US" w:bidi="ar-SA"/>
    </w:rPr>
  </w:style>
  <w:style w:type="paragraph" w:styleId="ListParagraph">
    <w:name w:val="List Paragraph"/>
    <w:basedOn w:val="Normal"/>
    <w:uiPriority w:val="34"/>
    <w:qFormat/>
    <w:rsid w:val="004361af"/>
    <w:pPr>
      <w:spacing w:before="0" w:after="0"/>
      <w:ind w:left="720"/>
      <w:contextualSpacing/>
    </w:pPr>
    <w:rPr/>
  </w:style>
  <w:style w:type="paragraph" w:styleId="Inf" w:customStyle="1">
    <w:name w:val="Inf_Текст журнала"/>
    <w:qFormat/>
    <w:rsid w:val="0004384d"/>
    <w:pPr>
      <w:widowControl/>
      <w:suppressAutoHyphens w:val="true"/>
      <w:bidi w:val="0"/>
      <w:spacing w:before="0" w:after="0"/>
      <w:ind w:firstLine="567"/>
      <w:jc w:val="both"/>
    </w:pPr>
    <w:rPr>
      <w:rFonts w:ascii="Times New Roman" w:hAnsi="Times New Roman" w:eastAsia="Times New Roman" w:cs="Times New Roman"/>
      <w:color w:val="auto"/>
      <w:kern w:val="0"/>
      <w:sz w:val="22"/>
      <w:szCs w:val="20"/>
      <w:lang w:val="ru-RU" w:eastAsia="en-US" w:bidi="ar-SA"/>
    </w:rPr>
  </w:style>
  <w:style w:type="paragraph" w:styleId="Tablecaption" w:customStyle="1">
    <w:name w:val="tablecaption"/>
    <w:basedOn w:val="Normal"/>
    <w:next w:val="Normal"/>
    <w:qFormat/>
    <w:rsid w:val="00e14e6f"/>
    <w:pPr>
      <w:keepNext w:val="true"/>
      <w:keepLines/>
      <w:spacing w:lineRule="atLeast" w:line="220" w:before="240" w:after="120"/>
      <w:jc w:val="center"/>
      <w:textAlignment w:val="baseline"/>
    </w:pPr>
    <w:rPr>
      <w:rFonts w:eastAsia="Times New Roman"/>
      <w:sz w:val="18"/>
      <w:lang w:val="en-US"/>
    </w:rPr>
  </w:style>
  <w:style w:type="paragraph" w:styleId="Style16" w:customStyle="1">
    <w:name w:val="Рабочий"/>
    <w:basedOn w:val="Normal"/>
    <w:qFormat/>
    <w:pPr>
      <w:spacing w:lineRule="exact" w:line="360" w:before="0" w:after="0"/>
      <w:ind w:firstLine="709" w:left="-397"/>
      <w:contextualSpacing/>
      <w:jc w:val="both"/>
    </w:pPr>
    <w:rPr>
      <w:rFonts w:eastAsia="Times New Roman"/>
      <w:sz w:val="28"/>
      <w:szCs w:val="28"/>
      <w:lang w:eastAsia="ru-RU"/>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b">
    <w:name w:val="Table Grid"/>
    <w:basedOn w:val="a1"/>
    <w:uiPriority w:val="59"/>
    <w:rsid w:val="0080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Сетка таблицы3"/>
    <w:basedOn w:val="a1"/>
    <w:uiPriority w:val="59"/>
    <w:rsid w:val="00b92269"/>
    <w:rPr>
      <w:rFonts w:asciiTheme="minorHAnsi" w:hAnsiTheme="minorHAnsi" w:eastAsiaTheme="minorHAnsi" w:cstheme="minorBidi"/>
      <w:lang w:val="ru-RU"/>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LibreOffice/7.6.2.1$Linux_X86_64 LibreOffice_project/60$Build-1</Application>
  <AppVersion>15.0000</AppVersion>
  <Pages>10</Pages>
  <Words>3401</Words>
  <Characters>22562</Characters>
  <CharactersWithSpaces>25817</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2023-12-01T07:39:00Z</dcterms:created>
  <dc:creator>Денис</dc:creator>
  <dc:description/>
  <dc:language>en-US</dc:language>
  <cp:lastModifiedBy/>
  <cp:lastPrinted>2023-12-05T23:05:14Z</cp:lastPrinted>
  <dcterms:modified xsi:type="dcterms:W3CDTF">2023-12-05T23:03:22Z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