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Architecture for Pulmonary Nodule Detection, Volumetric Segmentation, Morphology-Density Profiling, and Malignancy Risk Estimation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development of a clinical-grade artificial intelligence system for thoracic computed tomography (CT) analysis requires a coordinated, multi-stage architecture capable of executing spatial and radiometric normalization, candidate nodule detection, sub-millimeter volumetric boundary segmentation, quantitative morphologic and densitometric profiling, and calibrated malignancy risk estimation. Executing this pipeline requires addressing extreme anatomical class imbalance, acquisition variance across multi-vendor CT scanners, subtle radiomic manifestations of early invasive adenocarcinoma, and strict regulatory standards for medical device software.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Open-Access Benchmarks and Multicentric Data Infrastructure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 development, parameter optimization, and clinical validation depend upon curated, multicentric public repositories that capture diverse CT acquisition protocols, reconstruction kernels, slice thicknesses, and scanner vendors.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Imaging Modality &amp; Cohort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Cohort Size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Annotation Reference Standard</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Utility in AI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LIDC-IDRI</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and screening thoracic CT; multicentric acquisition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1,018 thoracic CT scans; 1,010 unique patients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Two-phase unblinded consensus by up to 4 thoracic radiologists; 3D boundary contours and semantic ratings (1–5 scale)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proposal training, semantic attribute benchmarking, and 3D boundary segmentation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LUNA16</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Low-dose thoracic CT filtered from LIDC-IDRI (slice thickness \le 2.5\text{ mm}, slice spacing \le 3\text{ mm})</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888 thoracic CT scans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Consensus nodules \ge 3\text{ mm} confirmed by at least 3 out of 4 radiologists (1,186 nodules)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for candidate detection and False Positive Reduction (FPR)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NLST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Low-dose CT (LDCT) lung cancer screening cohort; multi-institutional</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&gt;26,000 LDCT screening participants over 3 annual screening rounds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Radiologist clinical annotations paired with longitudinal trial follow-up and biopsy-proven cancer outcomes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and testing longitudinal cancer risk prediction models (e.g., Sybil)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LNDb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Retrospective clinical thoracic CT scans; low- and standard-dose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294 CT scans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Retrospective annotations by up to 5 radiologists; includes micronodules (&lt;3\text{ mm})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evaluation of candidate proposal detectors across thin- and thick-slice hospital protocols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DLCS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Multicenter screening and clinical CT acquisitions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Multi-cohort screening benchmarks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panel consensus on solid, subsolid, and calcified nodules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benchmark for sensitivity at constrained false-positive rates</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Lung Image Database Consortium and Image Database Resource Initiative (LIDC-IDRI) serves as the primary foundational dataset for morphological and boundary modeling. The dataset captures significant inter-reader variability; nodule margins were independently traced by up to four board-certified radiologists, yielding spatial disagreement that reflects real-world clinical ambiguity. For detection benchmarking, the LUng Nodule Analysis 2016 (LUNA16) challenge standardized LIDC-IDRI by excluding scans with slice thicknesses exceeding 2.5\text{ mm} or missing slice intervals, establishing a standardized 10-fold cross-validation split for nodule candidate identification.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end-to-end malignancy risk assessment, the National Lung Screening Trial (NLST) provides the principal benchmark for longitudinal cancer outcome validation, tracking biopsy-proven lung cancer occurrences across annual screening rounds rather than relying on subjective visual malignancy scores.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Computed Tomography Preprocessing and Anatomical Standardization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Thoracic CT acquisitions introduce variability in voxel dimensions, spatial orientations, reconstruction filters, and intensity calibrations. The data ingestion pipeline must standardize volumetric geometry and radiometry while preserving edge fidelity along subtle parenchymal interfaces.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preprocessing sequence begins with DICOM instance parsing, sorting slice instances along the anatomical z-axis according to physical coordinates rather than slice indices. The physical spatial location of each voxel is determined via the ImagePositionPatient vector ([x, y, z] coordinates of the upper-left voxel) and the ImageOrientationPatient direction cosines. The rotation matrix R, combined with the pixel spacing vector [s_x, s_y] and slice spacing s_z, forms the affine transformation matrix: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T_{\text{world}} = \begin{bmatrix} R_{11} s_x &amp; R_{12} s_y &amp; R_{13} s_z &amp; T_x \\ R_{21} s_x &amp; R_{22} s_y &amp; R_{23} s_z &amp; T_y \\ R_{31} s_x &amp; R_{32} s_y &amp; R_{33} s_z &amp; T_z \\ 0 &amp; 0 &amp; 0 &amp; 1 \end{bmatrix}</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affine transformation maps discrete array indices (i, j, k) to physical world coordinates (X, Y, Z) in millimeters, ensuring that spatial measurements remain anatomically accurate regardless of patient orientation.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thoracic CT acquisitions feature anisotropic voxels—frequently exhibiting high in-plane resolution (0.5\text{ mm} to 0.9\text{ mm}) alongside thick slice spacing (1.0\text{ mm} to 5.0\text{ mm})—spatial resampling is necessary to establish an isotropic grid, typically 1.0 \times 1.0 \times 1.0\text{ mm}^3 or 0.703125 \times 0.703125 \times 1.25\text{ mm}^3. Resampling of continuous CT attenuation fields is performed via third-order B-spline or trilinear interpolation to prevent aliasing and stair-step artifacts, whereas binary masks require nearest-neighbor interpolation to prevent boundary contamination.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Radiometric normalization transforms raw attenuation data into calibrated Hounsfield Units (HU) using rescale slope and intercept metadata. The voxel values are clipped to targeted clinical windows: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Lung Parenchyma Window:</w:t>
      </w:r>
      <w:r w:rsidDel="00000000" w:rsidR="00000000" w:rsidRPr="00000000">
        <w:rPr>
          <w:rtl w:val="0"/>
        </w:rPr>
        <w:t xml:space="preserve"> Window level L = -600\text{ HU}, Window width W = 1500\text{ HU}, establishing an effective dynamic range of -1350\text{ HU} to +150\text{ HU} (or [-1000\text{ HU}, +400\text{ HU}]) to capture fine subsolid attenuations and parenchymal boundaries.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Mediastinal Window:</w:t>
      </w:r>
      <w:r w:rsidDel="00000000" w:rsidR="00000000" w:rsidRPr="00000000">
        <w:rPr>
          <w:rtl w:val="0"/>
        </w:rPr>
        <w:t xml:space="preserve"> Window level L = +40\text{ HU}, Window width W = 400\text{ HU}, capturing soft-tissue attenuation between -160\text{ HU} and +240\text{ HU} to evaluate internal solid cores and calcification patterns.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window clipping, arrays are linearly scaled to the dynamic range [0.0, 1.0] or converted to standard normal scores using the mean and standard deviation of aerated lung tissue voxels.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eliminate computational overhead and suppress false-positive proposals from extrathoracic anatomy, the lung parenchyma is isolated using automated deep learning segmentation models such as TotalSegmentator. TotalSegmentator uses a 3D full-resolution nnU-Net architecture to generate segmentations of the five anatomical lung lobes (right upper, right middle, right lower, left upper, and left lower) along with the tracheobronchial tree. Isolating the lobes eliminates non-pulmonary tissue and provides anatomical lobar localization, a key input variable for multivariable malignancy prediction models.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Deep Learning Architectures for 3D Detection and Volumetric Segmentation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Detecting and segmenting pulmonary nodules presents an extreme class imbalance problem: a standard chest CT volume contains over 10^7 voxels, whereas an early-stage sub-centimeter nodule occupies fewer than 100 voxels. Resolving this discrepancy requires a two-stage approach: candidate proposal generation followed by false-positive reduction, coupled with high-resolution volumetric boundary segmentation.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Paradigm</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Network Backbone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Functional Role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Formulation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Published Benchmark Performance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nnDetection (Self-Configuring Detection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Retina Net / Retina U-Net with ResNet/FPN backbone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end-to-end 3D candidate proposal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Multi-task Focal Loss + Smooth L_1 / GIoU bounding box regression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Performance Metric (CPM): 0.93 - 0.94 on LUNA16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Dual-Path Multi-Scale 3D CNN (FPR Stage)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DenseNet-121 or 3D ResNet-50 with contextual crops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Elimination of non-nodular false alarms (vessels, scarring, pleural plaques)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Hard Negative Mining (OHEM) Cross-Entropy Loss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false-positive candidates to &lt;1.0\text{ FP/scan} at &gt;95\% sensitivity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3D nnU-Net (Volumetric Segmentation)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3D U-Net with self-configuring patch/stride heuristics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Voxel-level mask extraction for morphological and density profiling</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Compound Soft Dice Loss + Binary Cross-Entropy Loss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Dice Similarity Coefficient (DSC): 0.82 - 0.86 across solid/subsolid nodules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Swin UNETR / 3D Vision Transformer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Hierarchical Swin Transformer encoder + 3D CNN decoder blocks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margin segmentation across ground-glass opacity transitions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Cross-Entropy + Soft Dice + Boundary Hausdorff Loss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fidelity along irregular, spiculated margins in subsolid lesions</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Candidate Detection Stage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candidate detection stage prioritizes sensitivity over specificity, aiming to capture true nodular lesions while maintaining an operational candidate pool of 10 to 30 proposals per scan. Modern standard implementations use self-configuring medical object detection engines, notably nnDetection.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nnDetection framework adapts the Retina U-Net architecture to 3D volumetric images. By combining a 3D Feature Pyramid Network (FPN) with an anisotropic ResNet backbone, feature maps at multiple scales (P_2, P_3, P_4, P_5) preserve the spatial fidelity needed to detect micronodules while maintaining the receptive field required for large masses. To address foreground-background imbalance, the classification head employs Focal Loss: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\text{FL}(p_t) = -\alpha_t (1 - p_t)^\gamma \log(p_t)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Setting \gamma = 2.0 suppresses gradients from easily classified background air spaces and normal lung parenchyma, forcing network optimization to focus on ambiguous parenchymal interfaces. Concurrently, the regression head predicts physical 3D bounding box coordinates: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\mathbf{b} = [x_{\text{center}}, y_{\text{center}}, z_{\text{center}}, w, h, 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False Positive Reduction (FPR)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proposal networks frequently flag vascular bifurcations, apical scars, atelectatic bands, and pleural plaques due to their morphological similarity to solid lesions. The false-positive reduction (FPR) stage serves as an auxiliary classification filter.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FPR networks extract dual-path or triple-path volumetric patches centered on candidate centroids. A small patch (e.g., 32 \times 32 \times 32\text{ mm}^3) captures internal attenuation and border sharpness, while an expanded contextual patch (e.g., 64 \times 64 \times 64\text{ mm}^3) captures spatial relationships to adjacent costal ribs, bronchovascular bundles, and pleural surfaces. These multi-scale crops are processed by a 3D DenseNet or ResNet backbone trained with Online Hard Negative Mining (OHEM) to adjust the final candidate score, reducing false-positive rates to below 1.0 false positive per scan while maintaining high sensitivity.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Volumetric Segmentation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morphometric and densitometric calculations require precise voxel masks, as subtle variations in boundary delineation can significantly alter volumetric and radiomic indices. Following candidate proposal and confirmation, sub-volumes centered on the nodule coordinates are processed by a dedicated 3D segmentation engine, typically a full-resolution 3D nnU-Net.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network uses an encoder-decoder architecture with residual connections, deep supervision, instance normalization, and leaky ReLU activations. Training relies on a compound loss function balancing region overlap with voxel-level cross-entropy: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\mathcal{L}_{\text{total}} = \mathcal{L}_{\text{Dice}} + \mathcal{L}_{\text{BCE}} = 1 - \frac{2 [span_78](start_span)[span_78](end_span)\sum_{i} y_i \hat{y}_i + \epsilon}{\sum_i y_i + \sum_i \hat{y}_i + \epsilon} - \frac{1}{N}\sum_i \left[ y_i \log(\hat{y}_i) + (1 - y_i)\log(1 - \hat{y}_i) \right]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nodules with ill-defined ground-glass margins, hybrid architectures such as Swin UNETR combine hierarchical vision transformer encoders with CNN decoder stages, capturing the long-range contextual relationships needed to trace faint, non-solid infiltrations.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Computational Quantification of Nodule Morphology and Radiographic Density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binary segmentation masks M(x, [span_92](start_span)[span_92](end_span)y, z) \in \{0, 1\} are generated over the standardized CT array I(x, y, z), automated algorithms extract quantitative morphologic, structural, and densitometric features compliant with the Image Biomarker Standardisation Initiative (IBSI).</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Volumetric and Dimensional Metrics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measurement of diameter on a single axial slice introduces significant inter-observer variability. 3D segmentations enable objective mathematical calculation of true physical volume and geometric axes: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physical volume (V) is computed directly by integrating active mask voxels scaled by unit voxel volume: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 \left( \sum_{x,y,z} M(x, y, z) \right) \times (s_x \cdot s_y \cdot s_z) \quad [\text{mm}^3]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long- and short-axis dimensions without slice-selection bias, the system computes the second-moment inertia tensor across the segmentation mask: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I_{ij} = \sum_{x,y,z} (r_i - \bar{r}_i)(r_j - \bar{r}_j) M(x, y, z)</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Diagonalizing this tensor yields eigenvalues \lambda_1 \ge \lambda_2 \ge \lambda_3 corresponding to the orthogonal principal semi-axes. In alignment with Fleischner Society and Lung-RADS v2022 standards, the system projects the 3D lesion onto the transverse plane displaying the maximum cross-sectional area. It then measures the longest diameter (d_{\text{long}}) and its perpendicular short-axis diameter (d_{\text{short}}) to determine the mean diameter rounded to one decimal place: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d_{\text{mean}} = \frac{d_{\text{long}} + d_{\text{short}}}{2}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Sphericity (\Psi) quantifies the degree to which the segmented volume approximates a sphere: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 = \frac{\pi^{\frac{1}{3}} ([span_28](start_span)[span_28](end_span)[span_36](start_span)[span_36](end_span)6 V)^{\frac{2}{3}}}{A_{\text{surface}}}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A_{\text{surface}} represents the 3D surface area extracted from an isosurface mesh generated via the marching cubes algorithm. Smooth, benign granulomatous lesions frequently present high sphericity values (\Psi \to 1.0), whereas invasive malignant lesions typically exhibit lower sphericity due to irregular, multi-directional growth.</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Surface Characteristics: Spiculation and Lobulation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Margin characteristics are primary predictors of lung malignancy. Spiculation (fine, stellate radial lines radiating into adjacent parenchyma) and lobulation (undulating or scalloped contours) can be objectively quantified using computational surface geometry: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evaluates the radial distance distribution R(\theta, \phi) from the nodule centroid \mathbf{\bar{r}} to each surface boundary vertex across spherical coordinates. The variance \sigma_R^2 and high-frequency spherical harmonic coefficients of R(\theta, \phi) quantify boundary irregularity, with spiculated margins yielding elevated spectral energy in high-frequency harmonic bands.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Surface curvature is calculated across the reconstructed mesh by determining principal curvatures \kappa_1 and \kappa_2 at each vertex. Gaussian curvature (K = \kappa_1 \kappa_2) and mean curvature (H = \frac{\kappa_1 + \kappa_2}{2}) highlight localized surface anomalies. Spicular projections appear as clusters of sharp, positive Gaussian curvature with elevated mean curvature, whereas lobulations appear as broader, undulating regions with larger radii of curvature. The PyRadiomics library supplements these geometric calculations with standardized shape features, including surface-to-volume ratio, compactness, elongation, and flatness.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Attenuation Profiling and Density Decomposition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Nodule attenuation distribution reflects underlying tissue composition and determines risk stratification under screening guidelines. Densitometric decomposition categorizes segmented voxels based on established radiomic and attenuation criteria: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Type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Attenuation Threshold Range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Histopathological Correlate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Role in Risk Categorization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Normal / Aerated Entrapment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&lt;-750\text{ HU}</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alveolar air spaces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 from physical soft-tissue lesion volumetry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Ground-Glass Opacity (GGO)</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-750\text{ HU} \le \text{HU} \le -300\text{ HU}</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Lepidic tumor growth pattern, alveolar wall thickening</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Distinguishes pure ground-glass from part-solid nodules; tracked for size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 Soft-Tissue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&gt;-300\text{ HU} (typically \ge -160\text{ HU})</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Invasive adenocarcinoma, fibroblastic stroma, cellular mass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driver of clinical risk; measured independently to direct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Macrocalcification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&gt;+200\text{ HU} \text{ to } +400\text{ HU}</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Chronic granuloma, prior histoplasmosis, or tuberculosis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popcorn, concentric, or diffuse calcification patterns suggest benignity</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these attenuation profiles, the system classifies nodules into three distinct clinical subtypes: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Pure Ground-Glass Nodule (pGGN / Non-Solid):</w:t>
      </w:r>
      <w:r w:rsidDel="00000000" w:rsidR="00000000" w:rsidRPr="00000000">
        <w:rPr>
          <w:rtl w:val="0"/>
        </w:rPr>
        <w:t xml:space="preserve"> Less than 10% of total nodule volume contains attenuation exceeding -300\text{ HU}. Bronchial walls and pulmonary vascular structures remain visible through the lesion.</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Part-Solid Nodule (PSN / Subsolid):</w:t>
      </w:r>
      <w:r w:rsidDel="00000000" w:rsidR="00000000" w:rsidRPr="00000000">
        <w:rPr>
          <w:rtl w:val="0"/>
        </w:rPr>
        <w:t xml:space="preserve"> Contains both ground-glass components and an internal solid core (\ge -160\text{ HU}) that completely obscures underlying lung architecture. The system reports total mean diameter (d_{\text{total}}), solid core mean diameter (d_{\text{solid}}), total volume (V_{\text{total}}), and solid core volume (V_{\text{solid}}).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Solid Nodule (SN):</w:t>
      </w:r>
      <w:r w:rsidDel="00000000" w:rsidR="00000000" w:rsidRPr="00000000">
        <w:rPr>
          <w:rtl w:val="0"/>
        </w:rPr>
        <w:t xml:space="preserve"> Over 80% of the segmented volume consists of solid soft-tissue attenuation, completely obscuring the underlying lung parenchyma throughout the lesion.</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Malignancy Risk Estimation Frameworks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assessment pipeline integrates quantitative imaging markers with validated clinical calculators, heuristic reporting systems, and deep representation learners.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Prediction Model</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Feature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Underlying Mathematical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Metric</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Strengths &amp;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Brock Model (PanCan / McWilliams)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 demographics (age, sex, family history), CT features (diameter, attenuation, spiculation, count, lobe, emphysema)</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Multivariable Logistic Regression with non-linear fractional polynomial diameter power transform</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probability of nodule malignancy (p \in [0, 1])</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discrimination in screening populations; risks miscalibration in clinical referral cohorts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ACR Lung-RADS v2022</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Categorical nodule type, d_{\text{mean}}, solid component diameter, follow-up growth rate (&gt;1.5\text{ mm}), high-suspicion modifiers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Hierarchical Expert Decision Logic (Categories 1, 2, 3, 4A, 4B, 4X)</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ordinal risk category and management recommendations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integration with clinical management; coarse risk categorization within each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Sybil Deep Learning Engine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volumetric CT scan (LDCT series), no required clinical metadata or manual segmentations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ResNet-18 feature extractor paired with multi-head spatial attention and multi-year hazard output heads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1-year through 6-year cumulative lung cancer risk probabilities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Predicts future cancer risk directly from scan representation; limited interpretability for individual nodules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Hybrid Radiomics + Clinical Classifier</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PyRadiomics feature vector (shape, intensity, texture) + clinical covariates + deep embeddings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Regularized Machine Learning (LASSO, LightGBM, Support Vector Machines)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Lesion-level malignancy risk probability</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Balances algorithmic explainability with high discriminative power (AUC: 0.90 - 0.94)</w:t>
            </w:r>
          </w:p>
        </w:tc>
      </w:tr>
    </w:tbl>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Full Brock Model (PanCan) Formulation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Pan-Canadian Early Detection of Lung Cancer Study (PanCan / Brock model) estimates the malignancy risk of screen-detected nodules using a multivariable logistic regression formulation. The probability of malignancy p is calculated as: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 \frac{e^X}{1 + e^X}</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X represents the log-odds (logit) computed from clinical and radiographic variables: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\begin{aligned} X = &amp;-6.7892 \\ &amp;+ 0.0287 \times (\text{Age} - 62) \\ &amp;+ 0.6011 \times I_{\text{Female}} \\ &amp;+ 0.2961 \times I_{\text{FamilyHistory}} \\ &amp;+ 0.2953 \times I_{\text{Emphysema}} \\ &amp;- 5.3854 \times \left[ \left(\frac{d_{\[span_165](start_span)[span_165](end_span)[span_167](start_span)[span_167](end_span)text{max}}}{10}\right)^{-0.5} - 1.58113883 \right] \\ &amp;+ \beta_{\text{attenuation}} \\ &amp;+ 0.6581 \times I_{\text{UpperLobe}} \\ &amp;- 0.0824 \times (\text{NoduleCount} - 4) \\ &amp;+ 0.7729 \times I_{\text{Spiculation}} \end{aligned}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parameters are defined as follows: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\text{Age}: Patient age in continuous years.</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I_{\text{Female}}: Indicator variable (1 = \text{Female}, 0 = \text{Male}).</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I_{\text{FamilyHistory}}: Binary indicator for first-degree family history of lung cancer.</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I_{\text{Emphysema}}: Binary indicator for CT-detected emphysematous parenchymal destruction.</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d_{\text{m[span_241](start_span)[span_241](end_span)[span_246](start_span)[span_246](end_span)ax}}: Maximum transverse nodule diameter in millimeters.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\beta_{\text{attenuation}}: Categorical weight: 0 for solid nodules, +0.3770 for part-solid (subsolid) nodules, and -0.1276 for pure ground-glass (non-solid) nodules.</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I_{\text{UpperLobe}}: Indicator variable (1 = \text{Upper Lobe location}, 0 = \text{Otherwise}).</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\text{NoduleCount}: Total number of non-calcified nodules identified across the scan.</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I_{\text{Spiculation}}: Binary indicator for the presence of spicular projections along the margin (1 = \text{Present}, 0 = \text{Absent}).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British Thoracic Society (BTS) guidelines recommend that nodules with a Brock score &gt;10\% be directed toward functional evaluation via FDG-PET/CT or tissue sampling, while nodules with a score &lt;10\% remain under CT surveillance.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Heuristic Standard: ACR Lung-RADS Version 2022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American College of Radiology Lung-RADS v2022 framework standardizes reporting categories, malignancy risk estimates, and follow-up intervals for lung cancer screening cohorts.</w:t>
      </w:r>
    </w:p>
    <w:tbl>
      <w:tblPr>
        <w:tblStyle w:val="Table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Malignancy Risk</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Solid Nodule Criteria</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Part-Solid Nodule Criteria</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Ground-Glass Criteria</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 2</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Benign appearance or behavior</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&lt;1\%</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&lt;6\text{ mm} at baseline, or new &lt;4\text{ mm}</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&lt;6\text{ mm} total diameter at baseline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&lt;30\text{ mm} at baseline, new, or slowly growing</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LDCT in 12 months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 3</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Probably benign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1 - 2\%</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6\text{ to } &lt;8\text{ mm} baseline, or new 4\text{[span_186](start_span)[span_186](end_span)[span_197](start_span)[span_197](end_span) to } &lt;6\text{ mm}</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6\text{ mm} total with solid core &lt;6\text{ mm}, or new &lt;6\text{ mm} total</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30\text{ mm} at baseline or new</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6-month LDCT follow-up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 4A</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Suspicious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5 - 15\%</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\ge[span_187](start_span)[span_187](end_span)[span_198](start_span)[span_198](end_span) 8\text{ to } &lt;15\text{ mm} baseline, or new 6\tex[span_130](start_span)[span_130](end_span)t{ to } &lt;8\text{ mm}</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Solid core \ge 6\text{ to }[span_131](start_span)[span_131](end_span) &lt;8\text{ mm}, or new/growing solid core &lt;[span_132](start_span)[span_132](end_span)4\text{ mm}</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applicable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3-month LDCT; FDG-PET/CT if solid core \ge 8\tex[span_134](start_span)[span_134](end_span)t{ mm}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 4B</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suspicious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&gt;15\%</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1[span_135](start_span)[span_135](end_span)5\text{ mm} baseline, or new/growing \ge 8\text{ mm}</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Solid core \ge 8\tex[span_136](start_span)[span_136](end_span)t{ mm}, or new/growing solid core \ge 4\text{ mm}</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applicable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CT, PET/CT, and/or tissue biopsy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 4X</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suspicious with high-risk findings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&gt;15\% (often &gt;[span_189](start_span)[span_189](end_span)[span_200](start_span)[span_200](end_span)50\%)</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3 or 4 nodule displaying marked spiculation or adenopathy</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3 or 4 nodule displaying marked spiculation or adenopathy</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GGN demonstrating rapid size doubling within 12 months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CT, PET/CT, and/or tissue biopsy</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Measurements are calculated as the mean of long and short axes on lung window settings and rounded to one decimal place. Interval growth is defined as an increase in mean diameter of &gt;1.5[span_192](start_span)[span_192](end_span)[span_203](start_span)[span_203](end_span)\text{ mm} within a 12-month period. Category 4X represents an upgrade modifier triggered by findings such as marked spiculation, pleural tethering, or lymphadenopathy, which carry high suspicion for invasive malignancy.</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End-to-End Representation Learning: Sybil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Sybil approaches risk assessment by processing entire volumetric CT scans end-to-end, bypassing the need for manual nodule boundary tracing or explicit clinical covariates. Developed on the NLST cohort and externally validated across diverse international populations (including Massachusetts General Hospital and Chang Gung Memorial Hospital), Sybil estimates cumulative lung cancer risk over 1 to 6 years.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uses a 3D ResNet-18 convolutional backbone that extracts feature representations across the lung volume. A multi-head spatial self-attention pooling block weights regions containing subtle nodular or pre-cancerous parenchymal abnormalities.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model outputs hazard predictions \hat{y}_t for future time horizons (t \in \{1, \dots, 6\text{ years}\}), achieving an area under the receiver operating characteristic curve (AUROC) of 0.92 at 1 year on the NLST validation cohort and 0.94 on the CGMH cohort. While Sybil demonstrates high discriminative performance, its end-to-end design operates as a black box; combining it with explicit nodule segmentations provides the interpretability required by clinical workflows.</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Architecture of the Software Stack</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an enterprise-grade medical imaging platform requires integrating low-level image processing routines, high-performance deep learning inference frameworks, and standards-compliant medical data serialization libraries.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Layer</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Software Packages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Role in Pipeline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Functional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DICOM Ingestion &amp; Parsing</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pydicom, SimpleITK, dcmtools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ingestion and coordinate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Parses DICOM headers, sorts axial slices by ImagePositionPatient, extracts physical coordinate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Volumetric Standardization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TorchIO, SimpleITK, SciPy</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and radiometric preprocessing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Resamples arrays to isotropic resolution via B-spline interpolation; executes HU clipping and scaling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Anatomical Parcellation</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TotalSegmentator, nnU-Net engine</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Anatomical structure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Segments lung boundaries, lobes, and tracheobronchial tree to assign nodule locations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3D Nodule Detection &amp; FPR</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nnDetection, MONAI Detection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proposal and false-alarm suppression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3D Retina U-Net to generate anchor-free candidate proposals, followed by 3D multi-scale classifier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Sub-Voxel Segmentation</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nnU-Net v2, MONAI (Swin UNETR)</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Volumetric boundary delineation</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sub-millimeter binary voxel masks using compound Dice and Cross-Entropy loss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Morphometrics &amp; Radiomics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PyRadiomics, VTK, scikit-image</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feature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Reconstructs 3D surface meshes; extracts IBSI-compliant shape, curvature, and texture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Risk Scoring &amp;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scikit-learn, XGBoost, PyTorch</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Malignancy risk 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Computes Brock logistic regression log-odds, Lung-RADS v2022 categories, and multi-year risk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Clinical Serialization</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highdicom, pydicom</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PACS export and reporting</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Serializes binary contours as DICOM SEG and quantitative metrics as DICOM SR (TID 1500) instances</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sequence begins with pydicom and SimpleITK reading incoming DICOM series from network storage or PACS archives. The software parses slice geometry, sorts instances along the longitudinal axis, and constructs an affine coordinate transform that converts array indices to physical Patient Coordinate space. TorchIO and SimpleITK resample the volume to isotropic resolution (1.0\text{ mm}^3), apply standardized lung windowing (-1000\text{ HU} to +400\text{ HU}), and normalize intensities.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TotalSegmentator parcellates the lung fields and individual lobes. The lung mask is routed to nnDetection[span_59](start_span)[span_59](end_span)[span_61](start_span)[span_61](end_span)[span_63](start_span)[span_63](end_span) and MONAI, which run a 3D Retina U-Net detector across overlapping sub-volumes using a sliding-window inferer. The candidate proposals are filtered through an auxiliary 3D DenseNet false-positive reduction network that evaluates dual-crop contextual patches. For each confirmed candidate, a 3D nnU-Net generates a boundary segmentation mask.</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segmentation masks are defined, PyRadiomics, VTK, and scikit-image calculate quantitative geometric and densitometric features, including long- and short-axis diameters, sphericity, surface curvature metrics, and ground-glass versus solid-core volume ratios.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morphometric features are passed to a risk scoring engine that evaluates the Brock formula, classifies the lesion under Lung-RADS v2022 rules, and applies a calibrated gradient-boosted ensemble model.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highdicom serializes the outputs into standard clinical formats, packaging segmentation masks as DICOM SEG objects and quantitative metrics as DICOM Structured Reports (TID 1500) for export to PACS workstations.</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Clinical Validation Rigor, Performance Metrics, and Regulatory Pathways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an AI platform into clinical workflows requires rigorous statistical validation across external cohorts and clearance under medical device regulatory frameworks.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Statistical Validation Metrics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each stage of the diagnostic pipeline performs a distinct task, performance must be evaluated using domain-specific statistical metrics: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candidate detection network is evaluated using Free-Response Receiver Operating Characteristic (FROC) analysis, plotting sensitivity against the average number of false-positive detections per scan. The benchmark metric is the Competitive Performance Metric (CPM), defined as the average sensitivity across seven false-positive thresholds: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\text{CPM} = \frac{1}{7} \sum_{k \in \left\{\frac{1}{8}, \frac{1}{4}, \frac{1}{2}, 1, 2, 4, 8\right\}} \text{Sensitivity}_{\text{at } k \text{ FP/scan}}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proposal engines typically target a CPM \ge 0.90 to avoid missing malignant lesions prior to false-positive reduction.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Segmentation fidelity is evaluated using the spatial overlap Dice Similarity Coefficient (DSC) and the 95th Percentile Hausdorff Distance (95\%\text{ HD}):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\text{DSC} = \frac{2 \vert{}X \cap Y\vert{}}{\vert{}X\vert{} + \vert{}Y\vert{}} \text{HD}_{95}(X, Y) = 95^{\text{th}}\text{ percentile} \left( \max_{x \in \partial X} \min_{y \in \partial Y} \Vert{}x - y\Vert{}, \max_{y \in \partial Y} \min_{x \in \partial X} \Vert{}y - x\Vert{} \right)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\text{HD}_{95} metric measures surface boundary error in physical millimeters, providing a sensitive measure of spicular and margin delineation errors.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Malignancy risk calibration and discrimination are assessed via the Area Under the Receiver Operating Characteristic curve (AUROC), the Area Under the Precision-Recall Curve (AUPRC), and the Brier score: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\text{Brier} = \frac{1}{N} \sum_{i=1}^N (p_i - y_i)^2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Clinical utility must be verified via Decision Curve Analysis (DCA) to calculate Net Benefit across operational risk thresholds (p_t \in [0.05, 0.20]), confirming that the algorithmic model reduces unnecessary biopsies without missing malignant lesions.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FDA Regulatory Framework and Precedent Analysis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 Food and Drug Administration (FDA) categorizes artificial intelligence and machine learning software under the Software as a Medical Device (SaMD) framework, classifying computer-assisted radiology platforms by intended clinical use: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Regulatory Category | Regulation Code | Product Code | Device Class | Functional Scope in Thoracic Radiology | | :--- | :--- | :--- | :--- | :--- | | </w:t>
      </w:r>
      <w:r w:rsidDel="00000000" w:rsidR="00000000" w:rsidRPr="00000000">
        <w:rPr>
          <w:b w:val="1"/>
          <w:bCs w:val="1"/>
          <w:rtl w:val="0"/>
        </w:rPr>
        <w:t xml:space="preserve">Computer-Assisted Detection (CADe)</w:t>
      </w:r>
      <w:r w:rsidDel="00000000" w:rsidR="00000000" w:rsidRPr="00000000">
        <w:rPr>
          <w:rtl w:val="0"/>
        </w:rPr>
        <w:t xml:space="preserve"> | 21 CFR 892.2070 | </w:t>
      </w:r>
      <w:r w:rsidDel="00000000" w:rsidR="00000000" w:rsidRPr="00000000">
        <w:rPr>
          <w:b w:val="1"/>
          <w:bCs w:val="1"/>
          <w:rtl w:val="0"/>
        </w:rPr>
        <w:t xml:space="preserve">MYN</w:t>
      </w:r>
      <w:r w:rsidDel="00000000" w:rsidR="00000000" w:rsidRPr="00000000">
        <w:rPr>
          <w:rtl w:val="0"/>
        </w:rPr>
        <w:t xml:space="preserve"> | Class II | Identifies and highlights candidate nodule locations; does not characterize malignancy risk. | | </w:t>
      </w:r>
      <w:r w:rsidDel="00000000" w:rsidR="00000000" w:rsidRPr="00000000">
        <w:rPr>
          <w:b w:val="1"/>
          <w:bCs w:val="1"/>
          <w:rtl w:val="0"/>
        </w:rPr>
        <w:t xml:space="preserve">Computer-Assisted Triage (CADt)</w:t>
      </w:r>
      <w:r w:rsidDel="00000000" w:rsidR="00000000" w:rsidRPr="00000000">
        <w:rPr>
          <w:rtl w:val="0"/>
        </w:rPr>
        <w:t xml:space="preserve"> | 21 CFR 892.2080 | </w:t>
      </w:r>
      <w:r w:rsidDel="00000000" w:rsidR="00000000" w:rsidRPr="00000000">
        <w:rPr>
          <w:b w:val="1"/>
          <w:bCs w:val="1"/>
          <w:rtl w:val="0"/>
        </w:rPr>
        <w:t xml:space="preserve">QAS / QFM</w:t>
      </w:r>
      <w:r w:rsidDel="00000000" w:rsidR="00000000" w:rsidRPr="00000000">
        <w:rPr>
          <w:rtl w:val="0"/>
        </w:rPr>
        <w:t xml:space="preserve"> | Class II | Flags and prioritizes scans with urgent findings on reading worklists; does not mark lesions. | | </w:t>
      </w:r>
      <w:r w:rsidDel="00000000" w:rsidR="00000000" w:rsidRPr="00000000">
        <w:rPr>
          <w:b w:val="1"/>
          <w:bCs w:val="1"/>
          <w:rtl w:val="0"/>
        </w:rPr>
        <w:t xml:space="preserve">Computer-Assisted Diagnosis (CADx)</w:t>
      </w:r>
      <w:r w:rsidDel="00000000" w:rsidR="00000000" w:rsidRPr="00000000">
        <w:rPr>
          <w:rtl w:val="0"/>
        </w:rPr>
        <w:t xml:space="preserve"> | 21 CFR 892.2060 | </w:t>
      </w:r>
      <w:r w:rsidDel="00000000" w:rsidR="00000000" w:rsidRPr="00000000">
        <w:rPr>
          <w:b w:val="1"/>
          <w:bCs w:val="1"/>
          <w:rtl w:val="0"/>
        </w:rPr>
        <w:t xml:space="preserve">POK</w:t>
      </w:r>
      <w:r w:rsidDel="00000000" w:rsidR="00000000" w:rsidRPr="00000000">
        <w:rPr>
          <w:rtl w:val="0"/>
        </w:rPr>
        <w:t xml:space="preserve"> | Class II | Characterizes identified lesions, computes morphometrics, and estimates malignancy risk. | | </w:t>
      </w:r>
      <w:r w:rsidDel="00000000" w:rsidR="00000000" w:rsidRPr="00000000">
        <w:rPr>
          <w:b w:val="1"/>
          <w:bCs w:val="1"/>
          <w:rtl w:val="0"/>
        </w:rPr>
        <w:t xml:space="preserve">Combined Detection &amp; Diagnosis (CADe/x)</w:t>
      </w:r>
      <w:r w:rsidDel="00000000" w:rsidR="00000000" w:rsidRPr="00000000">
        <w:rPr>
          <w:rtl w:val="0"/>
        </w:rPr>
        <w:t xml:space="preserve"> | 21 CFR 892.2090 | </w:t>
      </w:r>
      <w:r w:rsidDel="00000000" w:rsidR="00000000" w:rsidRPr="00000000">
        <w:rPr>
          <w:b w:val="1"/>
          <w:bCs w:val="1"/>
          <w:rtl w:val="0"/>
        </w:rPr>
        <w:t xml:space="preserve">QDQ / QBS</w:t>
      </w:r>
      <w:r w:rsidDel="00000000" w:rsidR="00000000" w:rsidRPr="00000000">
        <w:rPr>
          <w:rtl w:val="0"/>
        </w:rPr>
        <w:t xml:space="preserve"> | Class II | Concurrently detects lesions and outputs diagnostic characterizations or risk scores.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end-to-end system that detects nodules, contours boundaries, measures volume and spiculation, and computes a malignancy score operates as a CADe/x or CADx device.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regulatory precedent is the Optellum Virtual Nodule Clinic (FDA clearance under Product Code POK / 21 CFR 892.2060), which integrates a Lung Cancer Prediction (LCP) neural network score with volumetric tracking to assist clinicians in triaging indeterminate pulmonary nodules.</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Pivotal Reader Study Design (MRMC)</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510(k) clearance or De Novo classification requires a Multi-Reader Multi-Case (MRMC) clinical validation study. The evaluation protocol must follow established regulatory standards: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uses a fully crossed reading design in which a panel of board-certified radiologists (typically 10 to 15 readers with varying clinical experience) independently evaluates an enriched, representative test set of 200 to 400 CT scans. The reference ground truth requires confirmation via surgical histopathology or documented two-year radiographic stability.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Readers evaluate cases across two distinct reading arms separated by a washout period (typically 4 to 6 weeks) to prevent recall bias: an unassisted arm using standard PACS tools, and an AI-assisted arm with automated nodule detections, segmentations, and malignancy scores.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study endpoint requires demonstrating superiority or non-inferiority in reader Area Under the Curve using the Obuchowski-Rockette-Hillis (ORH) MRMC ANOVA model. Secondary endpoints evaluate gains in reader sensitivity without significant reductions in specificity, alongside reductions in inter-observer variability and scan interpretation time.</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Synthesized Recommendations for Production Implementation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an AI system for pulmonary nodule analysis requires balancing algorithmic performance against clinical utility, computational stability, and regulatory requirements.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end-to-end deep learning models (such as Sybil) achieve high discriminative performance, direct volume-to-risk networks lack the interpretable intermediate metrics needed to guide clinical management. Established guidelines, including Lung-RADS and BTS, make clinical recommendations based on physical dimensions, volume doubling times, and solid core measurements. Production systems should therefore adopt a modular architecture: an isotropic 3D detector initiates candidate proposals, a 3D nnU-Net segments physical lesion boundaries, and quantitative geometry algorithms extract deterministic, verifiable morphology and density metrics.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 trained exclusively on screening cohorts (such as LUNA16, PanCan, or NLST) frequently encounter calibration drift when deployed in hospital settings. In tertiary care cohorts, the baseline probability of malignancy is higher, inflammatory granulomas are more prevalent, and subsolid lesions in never-smokers (e.g., Asian populations enriched for EGFR mutations) display different disease biology. Production systems should incorporate post-hoc Platt scaling or isotonic regression recalibration tailored to the target clinical population.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measurement discrepancies, algorithmic morphometry must mirror standard radiological practices. Long- and short-axis measurements should be determined by extracting the second-moment inertia tensor on the maximal cross-sectional transverse slice, outputting values rounded to one decimal place to match clinical reporting conventions. Densitometric analysis must report both total volume and solid-component volume, allowing clinicians to detect changes in internal solid cores across follow-up scans—a key early indicator of malignant transformation.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platform must integrate smoothly into existing clinical workflows. Outputting results through separate third-party dashboards adds friction to clinical review. The system should instead serialize segmentations as standard DICOM SEG objects and quantitative metrics as DICOM Structured Reports (TID 1500). This enables native rendering within hospital PACS workstations, presenting detected candidates, contour overlays, morphological metrics, and calculated malignancy probabilities directly inside the radiologist's routine diagnostic environment.</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Impact of Lesion Delineation and Intensity Quantisation on ... - MDPI, https://www.mdpi.com/2075-4418/11/7/1224 2. monai_lung_nodule_ct_detection | NVIDIA NGC, https://catalog.ngc.nvidia.com/orgs/nvidia/teams/monaitoolkit/models/monai_lung_nodule_ct_detection 3. Pediatric-specific computer-aided detection of lung nodules in, https://pmc.ncbi.nlm.nih.gov/articles/PMC13167107/ 4. Understanding Adenocarcinoma of the Lung Developing from, https://pubs.rsna.org/doi/abs/10.1148/rg.250100 5. Lung-RADS® Calculator v2022 - RadioGyan, https://radiogyan.com/lung-rads-calculator/ 6. Comparison of different classification systems for pulmonary nodules, https://pmc.ncbi.nlm.nih.gov/articles/PMC10801946/ 7. Baseline whole-lung CT features deriving from deep learning and, https://www.frontiersin.org/journals/oncology/articles/10.3389/fonc.2023.1255007/full 8. Lung CT Segmenter supports TotalSegmentator nnU-Net deep, https://discourse.slicer.org/t/lung-ct-segmenter-supports-totalsegmentator-nnu-net-deep-learning/25226 9. LobePrior segments lung lobes on computed tomography images in, https://pmc.ncbi.nlm.nih.gov/articles/PMC13201581/ 10. Brock Calculator – Pulmonary Nodule Malignancy Risk - PulmTools, https://pulmtools.com/tools/brock-pulmonary-nodule-risk-calculator 11. An Open-Access, Multi-Stage AI Pipeline for First-Pass Lung Nodule, https://arxiv.org/pdf/2601.19380 12. nnDetection: A Self-configuring Method for Medical Object Detection, https://arxiv.org/html/2106.00817v2 13. Anatomy-aware lymphoma lesion detection in whole-body PET/CT, https://www.frontiersin.org/journals/oncology/articles/10.3389/fonc.2026.1695211/full 14. Recent development in AI for lung nodule detection - ESR Connect, https://connect.myesr.org/course/recent-development-in-ai-for-lung-nodule-detection/ 15. A Comparative Study of Radiomics and Deep-Learning Based, https://www.frontiersin.org/journals/oncology/articles/10.3389/fonc.2021.737368/full 16. Integration of Radiomics and Tumor Biomarkers in Interpretable, https://www.mdpi.com/2072-6694/15/9/2459 17. Comparison of Lung-RADS Version 2022 and British Thoracic, https://www.mdpi.com/2075-1729/15/1/14 18. (PDF) Comparison of Lung-RADS Version 2022 and British Thoracic, https://www.researchgate.net/publication/387484284_Comparison_of_Lung-RADS_Version_2022_and_British_Thoracic_Society_Guidelines_in_Classifying_Solid_Pulmonary_Nodules_Detected_at_Lung_Cancer_Screening_CT 19. Nodule spiculation quantification dataset samples; the first row -input, https://www.researchgate.net/figure/Nodule-spiculation-quantification-dataset-samples-the-first-row-input-CT-image-the_fig1_363600130 20. choilab-jefferson/qradiomics - GitHub, https://github.com/choilab-jefferson/qradiomics 21. Pulmonary Nodules: Common Questions and Answers | AFP - AAFP, https://www.aafp.org/afp/2023/0300/pulmonary-nodules 22. Comparison of Veterans Affairs, Mayo, Brock classification models, https://pmc.ncbi.nlm.nih.gov/articles/PMC6835111/ 23. Probability of Cancer in Pulmonary Nodules Detected on First, https://www.kycancerc.org/wp-content/uploads/sites/14/2018/11/probability_cancer_nodules_firstscreeningct_lung.pdf 24. Cancer Risk Estimation Combining Lung Screening CT with Clinical, https://pmc.ncbi.nlm.nih.gov/articles/PMC8637232/ 25. Efficiency of pulmonary nodule risk scoring systems in Turkish, https://pmc.ncbi.nlm.nih.gov/articles/PMC11628567/ 26. Brockscore.com — Educational Brock Model Explainer, https://brockscore.com/ 27. Lung-RADS Calculator V. 2022 - RAD At Hand, https://radathand.com/radiology-calculators/cardiothoracic-imaging/lung-rads-calculator/ 28. Lung Imaging Reporting and Data System (Lung-RADS) in Radiology, https://pmc.ncbi.nlm.nih.gov/articles/PMC9935959/ 29. A Validated Deep Learning Model to Predict Future Lung Cancer, https://www.researchgate.net/publication/367079100_Sybil_A_Validated_Deep_Learning_Model_to_Predict_Future_Lung_Cancer_Risk_From_a_Single_Low-Dose_Chest_Computed_Tomography 30. Sybil: A Validated Deep Learning Model to Predict Future Lung, https://ascopubs.org/doi/10.1200/JCO.22.01345 31. (PDF) Auditing Sybil: Explaining Deep Lung Cancer Risk Prediction, https://www.researchgate.net/publication/400414392_Auditing_Sybil_Explaining_Deep_Lung_Cancer_Risk_Prediction_Through_Generative_Interventional_Attributions 32. Lung Cancer Risk Prediction in Patients with Persistent Pulmonary, https://pmc.ncbi.nlm.nih.gov/articles/PMC12070823/ 33. GitHub - DIAGNijmegen/bodyct-sybil-lung-cancer-risk, https://github.com/DIAGNijmegen/bodyct-sybil-lung-cancer-risk 34. A Comparison Study on Machine Learning and Regression Models, https://www.researchgate.net/publication/354699070_Predicting_Survived_Events_in_Nontraumatic_Out-of-Hospital_Cardiac_Arrest_A_Comparison_Study_on_Machine_Learning_and_Regression_Models 35. GitHub - fitushar/AI-in-Lung-Health-Benchmarking-Detection-and, https://github.com/fitushar/AI-in-Lung-Health-Benchmarking-Detection-and-Diagnostic-Models-Across-Multiple-CT-Scan-Datasets 36. (PDF) Comparison of Veterans Affairs, Mayo, Brock classification, https://www.researchgate.net/publication/336873717_Comparison_of_Veterans_Affairs_Mayo_Brock_classification_models_and_radiologist_diagnosis_for_classifying_the_malignancy_of_pulmonary_nodules_in_Chinese_clinical_population 37. Radiomics features combined with clinical and CT features for, https://jtd.amegroups.org/article/view/112467/html 38. Reproducible Benchmarking for Lung Nodule Detection and ... - arXiv, https://arxiv.org/pdf/2405.04605 39. A guide to FDA Diagnostic Radiology Product Codes - Hardian Health, https://www.hardianhealth.com/insights/fda-codes 40. Petition to U.S. FDA proposes alternative pathway for radiology AI, https://www.auntminnie.com/imaging-informatics/artificial-intelligence/article/15775081/petition-to-us-fda-proposes-alternative-pathway-for-radiology-ai 41. Avenues for Transparency in Regulating Radiological AI/ML, https://www.medrxiv.org/content/10.1101/2024.07.12.24309602v1.full.pdf 42. FDA strikes down radiology AI 510(k) exemption arguments, https://www.auntminnie.com/imaging-informatics/artificial-intelligence/article/15822031/fda-strikes-down-radiology-ai-510k-exemption-arguments 43. Preliminary Full Year 2019 Unaudited Financial Results, https://mediantechnologies.com/wp-content/uploads/2022/01/202201xx_Corporate_Update_Mediantechnologies.pdf 44. Optellum Announces New Clinical Evidence Demonstrating the, https://optellum.com/news/bms-real-world-impact 45. Coreline Soft and Optellum announce intent to collaborate to, https://www.prnewswire.com/news-releases/coreline-soft-and-optellum-announce-intent-to-collaborate-to-advance-ai-across-the-lung-cancer-pathway-302850282.html 46. Artificial Intelligence Tools in Precision Lung Cancer Care - PMC, https://pmc.ncbi.nlm.nih.gov/articles/PMC13162829/ 47. Beyond the Black Box: Avenues for Transparency in Regulating, https://www.researchgate.net/publication/382228976_Beyond_the_Black_Box_Avenues_to_Transparency_in_Regulating_Radiological_AIML-enabled_SaMD_via_the_FDA_510k_Pathway 48. Considerations for Computer-Assisted Detection Devices Applied to, https://www.fda.gov/media/77642/download 49. Equity gaps in pulmonary nodule risk prediction for never-smokers, https://www.researchgate.net/publication/413787095_Equity_gaps_in_pulmonary_nodule_risk_prediction_for_never-smokers_a_real-world_evidence-informed_narrative_review_and_policy_analysis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