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eda5143f536445a"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de94086260d24c37"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3761ecd9831248c2">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91c9fe08b64f4aae">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b519a5085de74dbb">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de94086260d24c37" /><Relationship Type="http://schemas.openxmlformats.org/officeDocument/2006/relationships/hyperlink" Target="https://www.researchgate.net/publication/9440038_Language_and_TAT_content_in_bilinguals" TargetMode="External" Id="R3761ecd9831248c2" /><Relationship Type="http://schemas.openxmlformats.org/officeDocument/2006/relationships/hyperlink" Target="https://books.google.pl/books?id=1LMhWGHGkRUC" TargetMode="External" Id="R91c9fe08b64f4aae" /><Relationship Type="http://schemas.openxmlformats.org/officeDocument/2006/relationships/hyperlink" Target="https://en.wikipedia.org/wiki/Lateralization_of_brain_function" TargetMode="External" Id="Rb519a5085de74dbb" /></Relationships>
</file>