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0CB" w:rsidRPr="008470CB" w:rsidRDefault="008470CB" w:rsidP="008470CB">
      <w:pPr>
        <w:rPr>
          <w:b/>
          <w:sz w:val="28"/>
          <w:szCs w:val="28"/>
          <w:lang w:val="en-US"/>
        </w:rPr>
      </w:pPr>
      <w:r w:rsidRPr="008470CB">
        <w:rPr>
          <w:b/>
          <w:sz w:val="28"/>
          <w:szCs w:val="28"/>
          <w:lang w:val="en-US"/>
        </w:rPr>
        <w:t>Genetic Testing in Neurology</w:t>
      </w:r>
      <w:r w:rsidRPr="008470CB">
        <w:rPr>
          <w:b/>
          <w:sz w:val="28"/>
          <w:szCs w:val="28"/>
          <w:lang w:val="en-US"/>
        </w:rPr>
        <w:t xml:space="preserve"> </w:t>
      </w:r>
    </w:p>
    <w:p w:rsidR="008470CB" w:rsidRPr="008470CB" w:rsidRDefault="008470CB" w:rsidP="008470CB">
      <w:pPr>
        <w:rPr>
          <w:b/>
          <w:lang w:val="en-US"/>
        </w:rPr>
      </w:pPr>
    </w:p>
    <w:p w:rsidR="008470CB" w:rsidRPr="008470CB" w:rsidRDefault="008470CB" w:rsidP="008470CB">
      <w:pPr>
        <w:rPr>
          <w:b/>
          <w:lang w:val="en-US"/>
        </w:rPr>
      </w:pPr>
      <w:r w:rsidRPr="008470CB">
        <w:rPr>
          <w:b/>
          <w:lang w:val="en-US"/>
        </w:rPr>
        <w:t>Foreword</w:t>
      </w:r>
    </w:p>
    <w:p w:rsidR="008470CB" w:rsidRPr="008470CB" w:rsidRDefault="008470CB" w:rsidP="008470CB">
      <w:pPr>
        <w:rPr>
          <w:b/>
          <w:lang w:val="en-US"/>
        </w:rPr>
      </w:pPr>
      <w:r w:rsidRPr="008470CB">
        <w:rPr>
          <w:b/>
          <w:lang w:val="en-US"/>
        </w:rPr>
        <w:t xml:space="preserve">Genetic testing has become a cornerstone of modern neurology, offering </w:t>
      </w:r>
      <w:proofErr w:type="gramStart"/>
      <w:r w:rsidRPr="008470CB">
        <w:rPr>
          <w:b/>
          <w:lang w:val="en-US"/>
        </w:rPr>
        <w:t>clinicians</w:t>
      </w:r>
      <w:proofErr w:type="gramEnd"/>
      <w:r w:rsidRPr="008470CB">
        <w:rPr>
          <w:b/>
          <w:lang w:val="en-US"/>
        </w:rPr>
        <w:t xml:space="preserve"> powerful tools to unravel the molecular basis of neurological disorders. These methodologies vary in scope, resolution, and application, each tailored to address specific diagnostic challenges. Below is a detailed exploration of the key genetic testing modalities used in clinical practice, their strengths, limitations, and relevance to neurological disease.</w:t>
      </w:r>
    </w:p>
    <w:p w:rsidR="008470CB" w:rsidRPr="008470CB" w:rsidRDefault="008470CB" w:rsidP="008470CB">
      <w:pPr>
        <w:rPr>
          <w:lang w:val="en-US"/>
        </w:rPr>
      </w:pPr>
    </w:p>
    <w:p w:rsidR="008470CB" w:rsidRPr="008470CB" w:rsidRDefault="008470CB" w:rsidP="008470CB">
      <w:pPr>
        <w:rPr>
          <w:b/>
          <w:lang w:val="en-US"/>
        </w:rPr>
      </w:pPr>
      <w:r w:rsidRPr="008470CB">
        <w:rPr>
          <w:b/>
          <w:lang w:val="en-US"/>
        </w:rPr>
        <w:t>Karyotyping</w:t>
      </w:r>
    </w:p>
    <w:p w:rsidR="008470CB" w:rsidRPr="008470CB" w:rsidRDefault="008470CB" w:rsidP="008470CB">
      <w:pPr>
        <w:rPr>
          <w:lang w:val="en-US"/>
        </w:rPr>
      </w:pPr>
      <w:r w:rsidRPr="008470CB">
        <w:rPr>
          <w:lang w:val="en-US"/>
        </w:rPr>
        <w:t xml:space="preserve">Karyotyping is one of the oldest and most foundational genetic tests. It involves staining and visualizing an individual’s chromosomes under a microscope to detect large-scale structural abnormalities, such as missing or duplicated chromosomes (e.g., trisomy 21 in Down syndrome), translocations, or major deletions. While karyotyping is cost-effective and invaluable for diagnosing conditions caused by gross chromosomal changes, its resolution is limited. It cannot detect small mutations, such as single nucleotide changes or microdeletions, which are often responsible for neurological disorders. </w:t>
      </w:r>
      <w:proofErr w:type="gramStart"/>
      <w:r w:rsidRPr="008470CB">
        <w:rPr>
          <w:lang w:val="en-US"/>
        </w:rPr>
        <w:t xml:space="preserve">Despite its limitations, karyotyping remains useful for diagnosing syndromes like </w:t>
      </w:r>
      <w:proofErr w:type="spellStart"/>
      <w:r w:rsidRPr="008470CB">
        <w:rPr>
          <w:lang w:val="en-US"/>
        </w:rPr>
        <w:t>Prader</w:t>
      </w:r>
      <w:proofErr w:type="spellEnd"/>
      <w:r w:rsidRPr="008470CB">
        <w:rPr>
          <w:lang w:val="en-US"/>
        </w:rPr>
        <w:t xml:space="preserve">-Willi or </w:t>
      </w:r>
      <w:proofErr w:type="spellStart"/>
      <w:r w:rsidRPr="008470CB">
        <w:rPr>
          <w:lang w:val="en-US"/>
        </w:rPr>
        <w:t>Angelman</w:t>
      </w:r>
      <w:proofErr w:type="spellEnd"/>
      <w:r w:rsidRPr="008470CB">
        <w:rPr>
          <w:lang w:val="en-US"/>
        </w:rPr>
        <w:t>, where larger chromosomal rearrangements on chromosome 15 are implicated.</w:t>
      </w:r>
      <w:proofErr w:type="gramEnd"/>
    </w:p>
    <w:p w:rsidR="008470CB" w:rsidRPr="008470CB" w:rsidRDefault="008470CB" w:rsidP="008470CB">
      <w:pPr>
        <w:rPr>
          <w:lang w:val="en-US"/>
        </w:rPr>
      </w:pPr>
    </w:p>
    <w:p w:rsidR="008470CB" w:rsidRPr="008470CB" w:rsidRDefault="008470CB" w:rsidP="008470CB">
      <w:pPr>
        <w:rPr>
          <w:b/>
          <w:lang w:val="en-US"/>
        </w:rPr>
      </w:pPr>
      <w:r w:rsidRPr="008470CB">
        <w:rPr>
          <w:b/>
          <w:lang w:val="en-US"/>
        </w:rPr>
        <w:t xml:space="preserve">Fluorescence </w:t>
      </w:r>
      <w:proofErr w:type="gramStart"/>
      <w:r w:rsidRPr="008470CB">
        <w:rPr>
          <w:b/>
          <w:lang w:val="en-US"/>
        </w:rPr>
        <w:t>In</w:t>
      </w:r>
      <w:proofErr w:type="gramEnd"/>
      <w:r w:rsidRPr="008470CB">
        <w:rPr>
          <w:b/>
          <w:lang w:val="en-US"/>
        </w:rPr>
        <w:t xml:space="preserve"> Situ Hybridization (FISH)</w:t>
      </w:r>
    </w:p>
    <w:p w:rsidR="008470CB" w:rsidRPr="008470CB" w:rsidRDefault="008470CB" w:rsidP="008470CB">
      <w:pPr>
        <w:rPr>
          <w:lang w:val="en-US"/>
        </w:rPr>
      </w:pPr>
      <w:r w:rsidRPr="008470CB">
        <w:rPr>
          <w:lang w:val="en-US"/>
        </w:rPr>
        <w:t xml:space="preserve">Fluorescence </w:t>
      </w:r>
      <w:proofErr w:type="gramStart"/>
      <w:r w:rsidRPr="008470CB">
        <w:rPr>
          <w:lang w:val="en-US"/>
        </w:rPr>
        <w:t>In</w:t>
      </w:r>
      <w:proofErr w:type="gramEnd"/>
      <w:r w:rsidRPr="008470CB">
        <w:rPr>
          <w:lang w:val="en-US"/>
        </w:rPr>
        <w:t xml:space="preserve"> Situ Hybridization (FISH) builds on karyotyping by adding precision. This technique uses fluorescent DNA probes that bind to specific chromosomal regions, allowing clinicians to identify microdeletions or duplications that are invisible under a standard microscope. For example, FISH is routinely used to diagnose </w:t>
      </w:r>
      <w:proofErr w:type="spellStart"/>
      <w:r w:rsidRPr="008470CB">
        <w:rPr>
          <w:lang w:val="en-US"/>
        </w:rPr>
        <w:t>velocardiofacial</w:t>
      </w:r>
      <w:proofErr w:type="spellEnd"/>
      <w:r w:rsidRPr="008470CB">
        <w:rPr>
          <w:lang w:val="en-US"/>
        </w:rPr>
        <w:t xml:space="preserve"> syndrome, caused by a small deletion in chromosome 22 (22q11.2). While FISH is faster and more targeted than karyotyping, it is limited to testing predefined regions of interest. If a clinician does not know which chromosomal region to probe, FISH becomes impractical, making it a supplementary rather than first-line test in many cases.</w:t>
      </w:r>
    </w:p>
    <w:p w:rsidR="008470CB" w:rsidRPr="008470CB" w:rsidRDefault="008470CB" w:rsidP="008470CB">
      <w:pPr>
        <w:rPr>
          <w:b/>
          <w:lang w:val="en-US"/>
        </w:rPr>
      </w:pPr>
    </w:p>
    <w:p w:rsidR="008470CB" w:rsidRPr="008470CB" w:rsidRDefault="008470CB" w:rsidP="008470CB">
      <w:pPr>
        <w:rPr>
          <w:b/>
          <w:lang w:val="en-US"/>
        </w:rPr>
      </w:pPr>
      <w:r w:rsidRPr="008470CB">
        <w:rPr>
          <w:b/>
          <w:lang w:val="en-US"/>
        </w:rPr>
        <w:t>Chromosomal Microarray Analysis (CMA)</w:t>
      </w:r>
    </w:p>
    <w:p w:rsidR="008470CB" w:rsidRPr="008470CB" w:rsidRDefault="008470CB" w:rsidP="008470CB">
      <w:pPr>
        <w:rPr>
          <w:lang w:val="en-US"/>
        </w:rPr>
      </w:pPr>
      <w:r w:rsidRPr="008470CB">
        <w:rPr>
          <w:lang w:val="en-US"/>
        </w:rPr>
        <w:t xml:space="preserve">Chromosomal Microarray Analysis (CMA) represents a significant leap forward in detecting copy-number variants (CNVs)—submicroscopic deletions or duplications across the genome. By scanning the entire genome at high resolution, CMA can identify imbalances as small as 50-100 </w:t>
      </w:r>
      <w:proofErr w:type="spellStart"/>
      <w:r w:rsidRPr="008470CB">
        <w:rPr>
          <w:lang w:val="en-US"/>
        </w:rPr>
        <w:t>kilobases</w:t>
      </w:r>
      <w:proofErr w:type="spellEnd"/>
      <w:r w:rsidRPr="008470CB">
        <w:rPr>
          <w:lang w:val="en-US"/>
        </w:rPr>
        <w:t>. This makes it a first-line test for neurodevelopmental disorders like autism spectrum disorder or unexplained intellectual disability, where CNVs are common. However, CMA cannot detect balanced chromosomal rearrangements (e.g., inversions or translocations) or single-gene mutations, necessitating additional testing for a comprehensive diagnosis.</w:t>
      </w:r>
    </w:p>
    <w:p w:rsidR="008470CB" w:rsidRPr="008470CB" w:rsidRDefault="008470CB" w:rsidP="008470CB">
      <w:pPr>
        <w:rPr>
          <w:lang w:val="en-US"/>
        </w:rPr>
      </w:pPr>
    </w:p>
    <w:p w:rsidR="008470CB" w:rsidRPr="008470CB" w:rsidRDefault="008470CB" w:rsidP="008470CB">
      <w:pPr>
        <w:rPr>
          <w:b/>
          <w:lang w:val="en-US"/>
        </w:rPr>
      </w:pPr>
      <w:r w:rsidRPr="008470CB">
        <w:rPr>
          <w:b/>
          <w:lang w:val="en-US"/>
        </w:rPr>
        <w:lastRenderedPageBreak/>
        <w:t>Targeted Gene Panels</w:t>
      </w:r>
    </w:p>
    <w:p w:rsidR="008470CB" w:rsidRPr="008470CB" w:rsidRDefault="008470CB" w:rsidP="008470CB">
      <w:pPr>
        <w:rPr>
          <w:lang w:val="en-US"/>
        </w:rPr>
      </w:pPr>
      <w:r w:rsidRPr="008470CB">
        <w:rPr>
          <w:lang w:val="en-US"/>
        </w:rPr>
        <w:t xml:space="preserve">Targeted gene panels focus on sequencing a curated set of genes known to be associated with a specific clinical phenotype. For instance, an epilepsy panel might include genes like SCN1A (linked to </w:t>
      </w:r>
      <w:proofErr w:type="spellStart"/>
      <w:r w:rsidRPr="008470CB">
        <w:rPr>
          <w:lang w:val="en-US"/>
        </w:rPr>
        <w:t>Dravet</w:t>
      </w:r>
      <w:proofErr w:type="spellEnd"/>
      <w:r w:rsidRPr="008470CB">
        <w:rPr>
          <w:lang w:val="en-US"/>
        </w:rPr>
        <w:t xml:space="preserve"> syndrome) or KCNQ2 (associated with neonatal seizures). These panels are cost-effective and efficient, as they avoid the "noise" of irrelevant genomic regions. However, their utility depends on the clinician’s ability to narrow down the suspected diagnosis. If the genetic cause lies outside the panel’s scope—or if the disorder is genetically heterogeneous—targeted panels may miss the culprit variant.</w:t>
      </w:r>
    </w:p>
    <w:p w:rsidR="008470CB" w:rsidRPr="008470CB" w:rsidRDefault="008470CB" w:rsidP="008470CB">
      <w:pPr>
        <w:rPr>
          <w:lang w:val="en-US"/>
        </w:rPr>
      </w:pPr>
    </w:p>
    <w:p w:rsidR="008470CB" w:rsidRPr="008470CB" w:rsidRDefault="008470CB" w:rsidP="008470CB">
      <w:pPr>
        <w:rPr>
          <w:b/>
          <w:lang w:val="en-US"/>
        </w:rPr>
      </w:pPr>
      <w:r w:rsidRPr="008470CB">
        <w:rPr>
          <w:b/>
          <w:lang w:val="en-US"/>
        </w:rPr>
        <w:t>Whole Exome and Whole Genome Sequencing (WES/WGS)</w:t>
      </w:r>
    </w:p>
    <w:p w:rsidR="008470CB" w:rsidRPr="008470CB" w:rsidRDefault="008470CB" w:rsidP="008470CB">
      <w:pPr>
        <w:rPr>
          <w:lang w:val="en-US"/>
        </w:rPr>
      </w:pPr>
      <w:r w:rsidRPr="008470CB">
        <w:rPr>
          <w:lang w:val="en-US"/>
        </w:rPr>
        <w:t xml:space="preserve">Whole Exome Sequencing (WES) and Whole Genome Sequencing (WGS) represent the most comprehensive approaches. WES analyzes all protein-coding regions of the genome (~2% of the total DNA), while WGS examines the entire genome, including non-coding regions. These methods are particularly valuable for diagnosing rare, undifferentiated neurological disorders with complex or unknown genetic causes, such as atypical </w:t>
      </w:r>
      <w:proofErr w:type="spellStart"/>
      <w:r w:rsidRPr="008470CB">
        <w:rPr>
          <w:lang w:val="en-US"/>
        </w:rPr>
        <w:t>leukodystrophies</w:t>
      </w:r>
      <w:proofErr w:type="spellEnd"/>
      <w:r w:rsidRPr="008470CB">
        <w:rPr>
          <w:lang w:val="en-US"/>
        </w:rPr>
        <w:t xml:space="preserve"> or early-onset neurodegenerative diseases. WES/WGS can uncover novel mutations and solve diagnostic odysseys, but they come with challenges. The sheer volume of data requires sophisticated bioinformatics tools, and distinguishing pathogenic variants from benign ones—especially variants of uncertain significance (VUS)—remains a major hurdle. Cost and accessibility also limit their widespread use, though prices continue to decline.</w:t>
      </w:r>
    </w:p>
    <w:p w:rsidR="008470CB" w:rsidRPr="008470CB" w:rsidRDefault="008470CB" w:rsidP="008470CB">
      <w:pPr>
        <w:rPr>
          <w:lang w:val="en-US"/>
        </w:rPr>
      </w:pPr>
    </w:p>
    <w:p w:rsidR="008470CB" w:rsidRPr="008470CB" w:rsidRDefault="008470CB" w:rsidP="008470CB">
      <w:pPr>
        <w:rPr>
          <w:b/>
          <w:lang w:val="en-US"/>
        </w:rPr>
      </w:pPr>
      <w:r w:rsidRPr="008470CB">
        <w:rPr>
          <w:b/>
          <w:lang w:val="en-US"/>
        </w:rPr>
        <w:t>Repeat Expansion Analysis</w:t>
      </w:r>
    </w:p>
    <w:p w:rsidR="008470CB" w:rsidRPr="008470CB" w:rsidRDefault="008470CB" w:rsidP="008470CB">
      <w:pPr>
        <w:rPr>
          <w:lang w:val="en-US"/>
        </w:rPr>
      </w:pPr>
      <w:r w:rsidRPr="008470CB">
        <w:rPr>
          <w:lang w:val="en-US"/>
        </w:rPr>
        <w:t>Many neurological disorders, such as Huntington disease and fragile X syndrome, are caused by abnormal expansions of short DNA repeats. Repeat expansion analysis uses specialized techniques like polymerase chain reaction (PCR) or Southern blotting to measure the length of these repetitive sequences. For example, Huntington disease is diagnosed by detecting CAG repeats in the HTT gene: more than 40 repeats confirm the disease. While this method is definitive for known repeat disorders, it is limited to testing predefined loci and cannot identify other types of mutations.</w:t>
      </w:r>
    </w:p>
    <w:p w:rsidR="008470CB" w:rsidRPr="008470CB" w:rsidRDefault="008470CB" w:rsidP="008470CB">
      <w:pPr>
        <w:rPr>
          <w:b/>
          <w:lang w:val="en-US"/>
        </w:rPr>
      </w:pPr>
    </w:p>
    <w:p w:rsidR="008470CB" w:rsidRPr="008470CB" w:rsidRDefault="008470CB" w:rsidP="008470CB">
      <w:pPr>
        <w:rPr>
          <w:b/>
          <w:lang w:val="en-US"/>
        </w:rPr>
      </w:pPr>
      <w:r w:rsidRPr="008470CB">
        <w:rPr>
          <w:b/>
          <w:lang w:val="en-US"/>
        </w:rPr>
        <w:t>Mitochondrial DNA (</w:t>
      </w:r>
      <w:proofErr w:type="spellStart"/>
      <w:r w:rsidRPr="008470CB">
        <w:rPr>
          <w:b/>
          <w:lang w:val="en-US"/>
        </w:rPr>
        <w:t>mtDNA</w:t>
      </w:r>
      <w:proofErr w:type="spellEnd"/>
      <w:r w:rsidRPr="008470CB">
        <w:rPr>
          <w:b/>
          <w:lang w:val="en-US"/>
        </w:rPr>
        <w:t>) Analysis</w:t>
      </w:r>
    </w:p>
    <w:p w:rsidR="008470CB" w:rsidRPr="008470CB" w:rsidRDefault="008470CB" w:rsidP="008470CB">
      <w:pPr>
        <w:rPr>
          <w:lang w:val="en-US"/>
        </w:rPr>
      </w:pPr>
      <w:r w:rsidRPr="008470CB">
        <w:rPr>
          <w:lang w:val="en-US"/>
        </w:rPr>
        <w:t>Mitochondrial disorders, which affect energy production in cells, often arise from mutations in mitochondrial DNA (</w:t>
      </w:r>
      <w:proofErr w:type="spellStart"/>
      <w:r w:rsidRPr="008470CB">
        <w:rPr>
          <w:lang w:val="en-US"/>
        </w:rPr>
        <w:t>mtDNA</w:t>
      </w:r>
      <w:proofErr w:type="spellEnd"/>
      <w:r w:rsidRPr="008470CB">
        <w:rPr>
          <w:lang w:val="en-US"/>
        </w:rPr>
        <w:t xml:space="preserve">). Techniques like </w:t>
      </w:r>
      <w:proofErr w:type="spellStart"/>
      <w:r w:rsidRPr="008470CB">
        <w:rPr>
          <w:lang w:val="en-US"/>
        </w:rPr>
        <w:t>mtDNA</w:t>
      </w:r>
      <w:proofErr w:type="spellEnd"/>
      <w:r w:rsidRPr="008470CB">
        <w:rPr>
          <w:lang w:val="en-US"/>
        </w:rPr>
        <w:t xml:space="preserve"> sequencing or deletion analysis are critical for diagnosing conditions such as mitochondrial </w:t>
      </w:r>
      <w:proofErr w:type="spellStart"/>
      <w:r w:rsidRPr="008470CB">
        <w:rPr>
          <w:lang w:val="en-US"/>
        </w:rPr>
        <w:t>encephalomyopathy</w:t>
      </w:r>
      <w:proofErr w:type="spellEnd"/>
      <w:r w:rsidRPr="008470CB">
        <w:rPr>
          <w:lang w:val="en-US"/>
        </w:rPr>
        <w:t xml:space="preserve">, lactic acidosis, and stroke-like episodes (MELAS) or Leigh syndrome. Because mitochondria have their own DNA and are present in hundreds to thousands of copies per cell, testing requires specialized methods to detect </w:t>
      </w:r>
      <w:proofErr w:type="spellStart"/>
      <w:r w:rsidRPr="008470CB">
        <w:rPr>
          <w:lang w:val="en-US"/>
        </w:rPr>
        <w:t>heteroplasmy</w:t>
      </w:r>
      <w:proofErr w:type="spellEnd"/>
      <w:r w:rsidRPr="008470CB">
        <w:rPr>
          <w:lang w:val="en-US"/>
        </w:rPr>
        <w:t xml:space="preserve">—a mixture of mutated and normal </w:t>
      </w:r>
      <w:proofErr w:type="spellStart"/>
      <w:r w:rsidRPr="008470CB">
        <w:rPr>
          <w:lang w:val="en-US"/>
        </w:rPr>
        <w:t>mtDNA</w:t>
      </w:r>
      <w:proofErr w:type="spellEnd"/>
      <w:r w:rsidRPr="008470CB">
        <w:rPr>
          <w:lang w:val="en-US"/>
        </w:rPr>
        <w:t xml:space="preserve"> within a single patient. This complexity makes </w:t>
      </w:r>
      <w:proofErr w:type="spellStart"/>
      <w:r w:rsidRPr="008470CB">
        <w:rPr>
          <w:lang w:val="en-US"/>
        </w:rPr>
        <w:t>mtDNA</w:t>
      </w:r>
      <w:proofErr w:type="spellEnd"/>
      <w:r w:rsidRPr="008470CB">
        <w:rPr>
          <w:lang w:val="en-US"/>
        </w:rPr>
        <w:t xml:space="preserve"> analysis both technically challenging and essential for certain diagnoses.</w:t>
      </w:r>
    </w:p>
    <w:p w:rsidR="008470CB" w:rsidRDefault="008470CB" w:rsidP="008470CB">
      <w:pPr>
        <w:rPr>
          <w:lang w:val="en-US"/>
        </w:rPr>
      </w:pPr>
    </w:p>
    <w:p w:rsidR="008470CB" w:rsidRDefault="008470CB" w:rsidP="008470CB">
      <w:pPr>
        <w:rPr>
          <w:lang w:val="en-US"/>
        </w:rPr>
      </w:pPr>
    </w:p>
    <w:p w:rsidR="008470CB" w:rsidRPr="008470CB" w:rsidRDefault="008470CB" w:rsidP="008470CB">
      <w:pPr>
        <w:rPr>
          <w:lang w:val="en-US"/>
        </w:rPr>
      </w:pPr>
    </w:p>
    <w:p w:rsidR="008470CB" w:rsidRPr="008470CB" w:rsidRDefault="008470CB" w:rsidP="008470CB">
      <w:pPr>
        <w:rPr>
          <w:b/>
          <w:lang w:val="en-US"/>
        </w:rPr>
      </w:pPr>
      <w:r w:rsidRPr="008470CB">
        <w:rPr>
          <w:b/>
          <w:lang w:val="en-US"/>
        </w:rPr>
        <w:lastRenderedPageBreak/>
        <w:t>Future Directions</w:t>
      </w:r>
    </w:p>
    <w:p w:rsidR="008470CB" w:rsidRPr="008470CB" w:rsidRDefault="008470CB" w:rsidP="008470CB">
      <w:pPr>
        <w:rPr>
          <w:lang w:val="en-US"/>
        </w:rPr>
      </w:pPr>
      <w:r w:rsidRPr="008470CB">
        <w:rPr>
          <w:lang w:val="en-US"/>
        </w:rPr>
        <w:t>Emerging technologies, such as long-read sequencing and CRISPR-based diagnostics, promise to overcome current limitations. Long-read sequencing, for example, can resolve complex repeat expansions and structural variants that short-read methods miss. Meanwhile, advances in artificial intelligence are improving variant interpretation, reducing the burden of VUS. As these tools mature, they will further integrate genetic testing into routine neurological care, paving the way for earlier diagnoses and personalized therapies.</w:t>
      </w:r>
    </w:p>
    <w:p w:rsidR="008470CB" w:rsidRPr="008470CB" w:rsidRDefault="008470CB" w:rsidP="008470CB">
      <w:pPr>
        <w:rPr>
          <w:lang w:val="en-US"/>
        </w:rPr>
      </w:pPr>
    </w:p>
    <w:p w:rsidR="008470CB" w:rsidRPr="008470CB" w:rsidRDefault="008470CB" w:rsidP="008470CB">
      <w:pPr>
        <w:rPr>
          <w:b/>
          <w:lang w:val="en-US"/>
        </w:rPr>
      </w:pPr>
      <w:r w:rsidRPr="008470CB">
        <w:rPr>
          <w:b/>
          <w:lang w:val="en-US"/>
        </w:rPr>
        <w:t>Choosing the Right Test: A Clinical Perspective</w:t>
      </w:r>
    </w:p>
    <w:p w:rsidR="008470CB" w:rsidRPr="008470CB" w:rsidRDefault="008470CB" w:rsidP="008470CB">
      <w:pPr>
        <w:rPr>
          <w:lang w:val="en-US"/>
        </w:rPr>
      </w:pPr>
      <w:r w:rsidRPr="008470CB">
        <w:rPr>
          <w:lang w:val="en-US"/>
        </w:rPr>
        <w:t>The choice of genetic test depends on the clinical context. For a child with global developmental delay and dysmorphic features, CMA or karyotyping might be the first step. In contrast, a patient with a family history of adult-onset ataxia would benefit from targeted testing for spinocerebellar ataxia genes or repeat expansion analysis. Whole exome sequencing often serves as a "last resort" for enigmatic cases, though its role is expanding as costs decrease and interpretation improves.</w:t>
      </w:r>
    </w:p>
    <w:p w:rsidR="008470CB" w:rsidRPr="008470CB" w:rsidRDefault="008470CB" w:rsidP="008470CB">
      <w:pPr>
        <w:rPr>
          <w:lang w:val="en-US"/>
        </w:rPr>
      </w:pPr>
    </w:p>
    <w:p w:rsidR="008470CB" w:rsidRPr="008470CB" w:rsidRDefault="008470CB" w:rsidP="008470CB">
      <w:pPr>
        <w:rPr>
          <w:lang w:val="en-US"/>
        </w:rPr>
      </w:pPr>
      <w:r w:rsidRPr="008470CB">
        <w:rPr>
          <w:lang w:val="en-US"/>
        </w:rPr>
        <w:t>Importantly, no single test is universally superior. Each modality complements the others, and a tiered approach—starting with targeted tests and escalating to broader analyses—is often the most pragmatic strategy. Genetic counseling is critical throughout this process to manage patient expectations, interpret results, and address ethical concerns, such as incidental findings or implications for family members.</w:t>
      </w:r>
    </w:p>
    <w:p w:rsidR="008470CB" w:rsidRPr="008470CB" w:rsidRDefault="008470CB" w:rsidP="008470CB">
      <w:pPr>
        <w:rPr>
          <w:lang w:val="en-US"/>
        </w:rPr>
      </w:pPr>
    </w:p>
    <w:p w:rsidR="001A44B0" w:rsidRDefault="008470CB" w:rsidP="008470CB">
      <w:r w:rsidRPr="008470CB">
        <w:rPr>
          <w:lang w:val="en-US"/>
        </w:rPr>
        <w:t>In summary, genetic testing modalities in neurology form a diagnostic toolkit that balances breadth, depth, and practicality. By understanding the strengths and limitations of each method, clinicians can navigate the genetic landscape of neurological disorders with precision, ultimately improving patient outcomes through targeted interventions and informed family planning.</w:t>
      </w:r>
    </w:p>
    <w:p w:rsidR="008470CB" w:rsidRPr="008470CB" w:rsidRDefault="008470CB" w:rsidP="008470CB">
      <w:pPr>
        <w:rPr>
          <w:b/>
          <w:bCs/>
          <w:lang w:val="en-US"/>
        </w:rPr>
      </w:pPr>
      <w:r>
        <w:rPr>
          <w:b/>
          <w:bCs/>
          <w:lang w:val="en-US"/>
        </w:rPr>
        <w:t>1</w:t>
      </w:r>
      <w:r w:rsidRPr="008470CB">
        <w:rPr>
          <w:b/>
          <w:bCs/>
          <w:lang w:val="en-US"/>
        </w:rPr>
        <w:t>. Neurological Disorders Amenable to Genetic Testing</w:t>
      </w:r>
    </w:p>
    <w:p w:rsidR="008470CB" w:rsidRPr="008470CB" w:rsidRDefault="008470CB" w:rsidP="008470CB">
      <w:pPr>
        <w:numPr>
          <w:ilvl w:val="0"/>
          <w:numId w:val="1"/>
        </w:numPr>
        <w:rPr>
          <w:lang w:val="en-US"/>
        </w:rPr>
      </w:pPr>
      <w:r w:rsidRPr="008470CB">
        <w:rPr>
          <w:b/>
          <w:bCs/>
          <w:lang w:val="en-US"/>
        </w:rPr>
        <w:t>Monogenic Disorders</w:t>
      </w:r>
      <w:r w:rsidRPr="008470CB">
        <w:rPr>
          <w:lang w:val="en-US"/>
        </w:rPr>
        <w:t>: Huntington’s (HTT), Duchenne muscular dystrophy (DMD), Spinal Muscular Atrophy (SMN1).</w:t>
      </w:r>
    </w:p>
    <w:p w:rsidR="008470CB" w:rsidRPr="008470CB" w:rsidRDefault="008470CB" w:rsidP="008470CB">
      <w:pPr>
        <w:numPr>
          <w:ilvl w:val="0"/>
          <w:numId w:val="1"/>
        </w:numPr>
        <w:rPr>
          <w:lang w:val="en-US"/>
        </w:rPr>
      </w:pPr>
      <w:r w:rsidRPr="008470CB">
        <w:rPr>
          <w:b/>
          <w:bCs/>
          <w:lang w:val="en-US"/>
        </w:rPr>
        <w:t>Complex Disorders</w:t>
      </w:r>
      <w:r w:rsidRPr="008470CB">
        <w:rPr>
          <w:lang w:val="en-US"/>
        </w:rPr>
        <w:t>: Alzheimer’s (APP, PSEN1/2), Parkinson’s (LRRK2, SNCA).</w:t>
      </w:r>
    </w:p>
    <w:p w:rsidR="008470CB" w:rsidRPr="008470CB" w:rsidRDefault="008470CB" w:rsidP="008470CB">
      <w:pPr>
        <w:numPr>
          <w:ilvl w:val="0"/>
          <w:numId w:val="1"/>
        </w:numPr>
        <w:rPr>
          <w:lang w:val="en-US"/>
        </w:rPr>
      </w:pPr>
      <w:r w:rsidRPr="008470CB">
        <w:rPr>
          <w:b/>
          <w:bCs/>
          <w:lang w:val="en-US"/>
        </w:rPr>
        <w:t>Mitochondrial Disorders</w:t>
      </w:r>
      <w:r w:rsidRPr="008470CB">
        <w:rPr>
          <w:lang w:val="en-US"/>
        </w:rPr>
        <w:t>: MELAS (MT-TL1 gene).</w:t>
      </w:r>
    </w:p>
    <w:p w:rsidR="008470CB" w:rsidRPr="008470CB" w:rsidRDefault="008470CB" w:rsidP="008470CB">
      <w:pPr>
        <w:numPr>
          <w:ilvl w:val="0"/>
          <w:numId w:val="1"/>
        </w:numPr>
        <w:rPr>
          <w:lang w:val="en-US"/>
        </w:rPr>
      </w:pPr>
      <w:r w:rsidRPr="008470CB">
        <w:rPr>
          <w:b/>
          <w:bCs/>
          <w:lang w:val="en-US"/>
        </w:rPr>
        <w:t>Neurodevelopmental Disorders</w:t>
      </w:r>
      <w:r w:rsidRPr="008470CB">
        <w:rPr>
          <w:lang w:val="en-US"/>
        </w:rPr>
        <w:t xml:space="preserve">: </w:t>
      </w:r>
      <w:proofErr w:type="spellStart"/>
      <w:r w:rsidRPr="008470CB">
        <w:rPr>
          <w:lang w:val="en-US"/>
        </w:rPr>
        <w:t>Rett</w:t>
      </w:r>
      <w:proofErr w:type="spellEnd"/>
      <w:r w:rsidRPr="008470CB">
        <w:rPr>
          <w:lang w:val="en-US"/>
        </w:rPr>
        <w:t xml:space="preserve"> syndrome (MECP2), Fragile X (FMR1).</w:t>
      </w:r>
    </w:p>
    <w:p w:rsidR="008470CB" w:rsidRPr="008470CB" w:rsidRDefault="008470CB" w:rsidP="008470CB">
      <w:pPr>
        <w:numPr>
          <w:ilvl w:val="0"/>
          <w:numId w:val="1"/>
        </w:numPr>
        <w:rPr>
          <w:lang w:val="en-US"/>
        </w:rPr>
      </w:pPr>
      <w:r w:rsidRPr="008470CB">
        <w:rPr>
          <w:b/>
          <w:bCs/>
          <w:lang w:val="en-US"/>
        </w:rPr>
        <w:t>Peripheral Neuropathies</w:t>
      </w:r>
      <w:r w:rsidRPr="008470CB">
        <w:rPr>
          <w:lang w:val="en-US"/>
        </w:rPr>
        <w:t>: Charcot-Marie-Tooth (PMP22, GJB1).</w:t>
      </w:r>
    </w:p>
    <w:p w:rsidR="008470CB" w:rsidRPr="008470CB" w:rsidRDefault="008470CB" w:rsidP="008470CB">
      <w:pPr>
        <w:rPr>
          <w:b/>
          <w:bCs/>
          <w:lang w:val="en-US"/>
        </w:rPr>
      </w:pPr>
      <w:r>
        <w:rPr>
          <w:b/>
          <w:bCs/>
          <w:lang w:val="en-US"/>
        </w:rPr>
        <w:t>2</w:t>
      </w:r>
      <w:r w:rsidRPr="008470CB">
        <w:rPr>
          <w:b/>
          <w:bCs/>
          <w:lang w:val="en-US"/>
        </w:rPr>
        <w:t>. Methodologies in Genetic Testing</w:t>
      </w:r>
    </w:p>
    <w:p w:rsidR="008470CB" w:rsidRPr="008470CB" w:rsidRDefault="008470CB" w:rsidP="008470CB">
      <w:pPr>
        <w:rPr>
          <w:b/>
          <w:bCs/>
          <w:lang w:val="en-US"/>
        </w:rPr>
      </w:pPr>
      <w:r>
        <w:rPr>
          <w:b/>
          <w:bCs/>
          <w:lang w:val="en-US"/>
        </w:rPr>
        <w:t>2</w:t>
      </w:r>
      <w:r w:rsidRPr="008470CB">
        <w:rPr>
          <w:b/>
          <w:bCs/>
          <w:lang w:val="en-US"/>
        </w:rPr>
        <w:t xml:space="preserve">.1 Karyotyping and Fluorescence </w:t>
      </w:r>
      <w:proofErr w:type="gramStart"/>
      <w:r w:rsidRPr="008470CB">
        <w:rPr>
          <w:b/>
          <w:bCs/>
          <w:lang w:val="en-US"/>
        </w:rPr>
        <w:t>In</w:t>
      </w:r>
      <w:proofErr w:type="gramEnd"/>
      <w:r w:rsidRPr="008470CB">
        <w:rPr>
          <w:b/>
          <w:bCs/>
          <w:lang w:val="en-US"/>
        </w:rPr>
        <w:t xml:space="preserve"> Situ Hybridization (FISH)</w:t>
      </w:r>
    </w:p>
    <w:p w:rsidR="008470CB" w:rsidRPr="008470CB" w:rsidRDefault="008470CB" w:rsidP="008470CB">
      <w:pPr>
        <w:numPr>
          <w:ilvl w:val="0"/>
          <w:numId w:val="2"/>
        </w:numPr>
        <w:rPr>
          <w:lang w:val="en-US"/>
        </w:rPr>
      </w:pPr>
      <w:r w:rsidRPr="008470CB">
        <w:rPr>
          <w:b/>
          <w:bCs/>
          <w:lang w:val="en-US"/>
        </w:rPr>
        <w:t>Principle</w:t>
      </w:r>
      <w:r w:rsidRPr="008470CB">
        <w:rPr>
          <w:lang w:val="en-US"/>
        </w:rPr>
        <w:t>: Karyotyping visualizes entire chromosomes; FISH uses fluorescent probes for specific loci.</w:t>
      </w:r>
    </w:p>
    <w:p w:rsidR="008470CB" w:rsidRPr="008470CB" w:rsidRDefault="008470CB" w:rsidP="008470CB">
      <w:pPr>
        <w:numPr>
          <w:ilvl w:val="0"/>
          <w:numId w:val="2"/>
        </w:numPr>
      </w:pPr>
      <w:proofErr w:type="spellStart"/>
      <w:r w:rsidRPr="008470CB">
        <w:rPr>
          <w:b/>
          <w:bCs/>
        </w:rPr>
        <w:lastRenderedPageBreak/>
        <w:t>Applications</w:t>
      </w:r>
      <w:proofErr w:type="spellEnd"/>
      <w:r w:rsidRPr="008470CB">
        <w:t>:</w:t>
      </w:r>
    </w:p>
    <w:p w:rsidR="008470CB" w:rsidRPr="008470CB" w:rsidRDefault="008470CB" w:rsidP="008470CB">
      <w:pPr>
        <w:numPr>
          <w:ilvl w:val="1"/>
          <w:numId w:val="2"/>
        </w:numPr>
        <w:rPr>
          <w:lang w:val="en-US"/>
        </w:rPr>
      </w:pPr>
      <w:r w:rsidRPr="008470CB">
        <w:rPr>
          <w:lang w:val="en-US"/>
        </w:rPr>
        <w:t xml:space="preserve">Karyotyping detects large deletions/translocations (e.g., 15q11-13 in </w:t>
      </w:r>
      <w:proofErr w:type="spellStart"/>
      <w:r w:rsidRPr="008470CB">
        <w:rPr>
          <w:lang w:val="en-US"/>
        </w:rPr>
        <w:t>Prader</w:t>
      </w:r>
      <w:proofErr w:type="spellEnd"/>
      <w:r w:rsidRPr="008470CB">
        <w:rPr>
          <w:lang w:val="en-US"/>
        </w:rPr>
        <w:t>-Willi syndrome).</w:t>
      </w:r>
    </w:p>
    <w:p w:rsidR="008470CB" w:rsidRPr="008470CB" w:rsidRDefault="008470CB" w:rsidP="008470CB">
      <w:pPr>
        <w:numPr>
          <w:ilvl w:val="1"/>
          <w:numId w:val="2"/>
        </w:numPr>
        <w:rPr>
          <w:lang w:val="en-US"/>
        </w:rPr>
      </w:pPr>
      <w:r w:rsidRPr="008470CB">
        <w:rPr>
          <w:lang w:val="en-US"/>
        </w:rPr>
        <w:t xml:space="preserve">FISH identifies microdeletions (e.g., 22q11 in </w:t>
      </w:r>
      <w:proofErr w:type="spellStart"/>
      <w:r w:rsidRPr="008470CB">
        <w:rPr>
          <w:lang w:val="en-US"/>
        </w:rPr>
        <w:t>DiGeorge</w:t>
      </w:r>
      <w:proofErr w:type="spellEnd"/>
      <w:r w:rsidRPr="008470CB">
        <w:rPr>
          <w:lang w:val="en-US"/>
        </w:rPr>
        <w:t xml:space="preserve"> syndrome with seizures).</w:t>
      </w:r>
    </w:p>
    <w:p w:rsidR="008470CB" w:rsidRPr="008470CB" w:rsidRDefault="008470CB" w:rsidP="008470CB">
      <w:pPr>
        <w:numPr>
          <w:ilvl w:val="0"/>
          <w:numId w:val="2"/>
        </w:numPr>
        <w:rPr>
          <w:lang w:val="en-US"/>
        </w:rPr>
      </w:pPr>
      <w:r w:rsidRPr="008470CB">
        <w:rPr>
          <w:b/>
          <w:bCs/>
          <w:lang w:val="en-US"/>
        </w:rPr>
        <w:t>Pros</w:t>
      </w:r>
      <w:r w:rsidRPr="008470CB">
        <w:rPr>
          <w:lang w:val="en-US"/>
        </w:rPr>
        <w:t>: Low cost (karyotyping</w:t>
      </w:r>
      <w:proofErr w:type="gramStart"/>
      <w:r w:rsidRPr="008470CB">
        <w:rPr>
          <w:lang w:val="en-US"/>
        </w:rPr>
        <w:t>),</w:t>
      </w:r>
      <w:proofErr w:type="gramEnd"/>
      <w:r w:rsidRPr="008470CB">
        <w:rPr>
          <w:lang w:val="en-US"/>
        </w:rPr>
        <w:t xml:space="preserve"> targeted (FISH).</w:t>
      </w:r>
    </w:p>
    <w:p w:rsidR="008470CB" w:rsidRPr="008470CB" w:rsidRDefault="008470CB" w:rsidP="008470CB">
      <w:pPr>
        <w:numPr>
          <w:ilvl w:val="0"/>
          <w:numId w:val="2"/>
        </w:numPr>
        <w:rPr>
          <w:lang w:val="en-US"/>
        </w:rPr>
      </w:pPr>
      <w:r w:rsidRPr="008470CB">
        <w:rPr>
          <w:b/>
          <w:bCs/>
          <w:lang w:val="en-US"/>
        </w:rPr>
        <w:t>Cons</w:t>
      </w:r>
      <w:r w:rsidRPr="008470CB">
        <w:rPr>
          <w:lang w:val="en-US"/>
        </w:rPr>
        <w:t>: Low resolution (karyotyping), restricted to known loci (FISH).</w:t>
      </w:r>
    </w:p>
    <w:p w:rsidR="008470CB" w:rsidRPr="008470CB" w:rsidRDefault="008470CB" w:rsidP="008470CB">
      <w:pPr>
        <w:rPr>
          <w:b/>
          <w:bCs/>
        </w:rPr>
      </w:pPr>
      <w:r>
        <w:rPr>
          <w:b/>
          <w:bCs/>
          <w:lang w:val="en-US"/>
        </w:rPr>
        <w:t>2</w:t>
      </w:r>
      <w:r w:rsidRPr="008470CB">
        <w:rPr>
          <w:b/>
          <w:bCs/>
        </w:rPr>
        <w:t>.2 PCR-</w:t>
      </w:r>
      <w:proofErr w:type="spellStart"/>
      <w:r w:rsidRPr="008470CB">
        <w:rPr>
          <w:b/>
          <w:bCs/>
        </w:rPr>
        <w:t>Based</w:t>
      </w:r>
      <w:proofErr w:type="spellEnd"/>
      <w:r w:rsidRPr="008470CB">
        <w:rPr>
          <w:b/>
          <w:bCs/>
        </w:rPr>
        <w:t xml:space="preserve"> </w:t>
      </w:r>
      <w:proofErr w:type="spellStart"/>
      <w:r w:rsidRPr="008470CB">
        <w:rPr>
          <w:b/>
          <w:bCs/>
        </w:rPr>
        <w:t>Methods</w:t>
      </w:r>
      <w:proofErr w:type="spellEnd"/>
    </w:p>
    <w:p w:rsidR="008470CB" w:rsidRPr="008470CB" w:rsidRDefault="008470CB" w:rsidP="008470CB">
      <w:pPr>
        <w:numPr>
          <w:ilvl w:val="0"/>
          <w:numId w:val="3"/>
        </w:numPr>
        <w:rPr>
          <w:lang w:val="en-US"/>
        </w:rPr>
      </w:pPr>
      <w:r w:rsidRPr="008470CB">
        <w:rPr>
          <w:b/>
          <w:bCs/>
          <w:lang w:val="en-US"/>
        </w:rPr>
        <w:t>Sanger Sequencing</w:t>
      </w:r>
      <w:r w:rsidRPr="008470CB">
        <w:rPr>
          <w:lang w:val="en-US"/>
        </w:rPr>
        <w:t>: Gold standard for validating single-gene variants (e.g., SOD1 in ALS).</w:t>
      </w:r>
    </w:p>
    <w:p w:rsidR="008470CB" w:rsidRPr="008470CB" w:rsidRDefault="008470CB" w:rsidP="008470CB">
      <w:pPr>
        <w:numPr>
          <w:ilvl w:val="0"/>
          <w:numId w:val="3"/>
        </w:numPr>
        <w:rPr>
          <w:lang w:val="en-US"/>
        </w:rPr>
      </w:pPr>
      <w:r w:rsidRPr="008470CB">
        <w:rPr>
          <w:b/>
          <w:bCs/>
          <w:lang w:val="en-US"/>
        </w:rPr>
        <w:t>Triplet Repeat-Primed PCR</w:t>
      </w:r>
      <w:r w:rsidRPr="008470CB">
        <w:rPr>
          <w:lang w:val="en-US"/>
        </w:rPr>
        <w:t>: Detects expansions in Fragile X (CGG repeats) or Friedreich’s ataxia (GAA).</w:t>
      </w:r>
    </w:p>
    <w:p w:rsidR="008470CB" w:rsidRPr="008470CB" w:rsidRDefault="008470CB" w:rsidP="008470CB">
      <w:pPr>
        <w:numPr>
          <w:ilvl w:val="0"/>
          <w:numId w:val="3"/>
        </w:numPr>
        <w:rPr>
          <w:lang w:val="en-US"/>
        </w:rPr>
      </w:pPr>
      <w:r w:rsidRPr="008470CB">
        <w:rPr>
          <w:b/>
          <w:bCs/>
          <w:lang w:val="en-US"/>
        </w:rPr>
        <w:t>MLPA (Multiplex Ligation-dependent Probe Amplification)</w:t>
      </w:r>
      <w:r w:rsidRPr="008470CB">
        <w:rPr>
          <w:lang w:val="en-US"/>
        </w:rPr>
        <w:t>: Identifies exon-level deletions/duplications (e.g., DMD in muscular dystrophy).</w:t>
      </w:r>
    </w:p>
    <w:p w:rsidR="008470CB" w:rsidRPr="008470CB" w:rsidRDefault="008470CB" w:rsidP="008470CB">
      <w:pPr>
        <w:numPr>
          <w:ilvl w:val="0"/>
          <w:numId w:val="3"/>
        </w:numPr>
        <w:rPr>
          <w:lang w:val="en-US"/>
        </w:rPr>
      </w:pPr>
      <w:r w:rsidRPr="008470CB">
        <w:rPr>
          <w:b/>
          <w:bCs/>
          <w:lang w:val="en-US"/>
        </w:rPr>
        <w:t>Pros</w:t>
      </w:r>
      <w:r w:rsidRPr="008470CB">
        <w:rPr>
          <w:lang w:val="en-US"/>
        </w:rPr>
        <w:t>: High accuracy (Sanger), cost-effective for small regions.</w:t>
      </w:r>
    </w:p>
    <w:p w:rsidR="008470CB" w:rsidRPr="008470CB" w:rsidRDefault="008470CB" w:rsidP="008470CB">
      <w:pPr>
        <w:numPr>
          <w:ilvl w:val="0"/>
          <w:numId w:val="3"/>
        </w:numPr>
        <w:rPr>
          <w:lang w:val="en-US"/>
        </w:rPr>
      </w:pPr>
      <w:r w:rsidRPr="008470CB">
        <w:rPr>
          <w:b/>
          <w:bCs/>
          <w:lang w:val="en-US"/>
        </w:rPr>
        <w:t>Cons</w:t>
      </w:r>
      <w:r w:rsidRPr="008470CB">
        <w:rPr>
          <w:lang w:val="en-US"/>
        </w:rPr>
        <w:t>: Low throughput; MLPA requires prior knowledge of target regions.</w:t>
      </w:r>
    </w:p>
    <w:p w:rsidR="008470CB" w:rsidRPr="008470CB" w:rsidRDefault="008470CB" w:rsidP="008470CB">
      <w:pPr>
        <w:rPr>
          <w:b/>
          <w:bCs/>
          <w:lang w:val="en-US"/>
        </w:rPr>
      </w:pPr>
      <w:r>
        <w:rPr>
          <w:b/>
          <w:bCs/>
          <w:lang w:val="en-US"/>
        </w:rPr>
        <w:t>2</w:t>
      </w:r>
      <w:r w:rsidRPr="008470CB">
        <w:rPr>
          <w:b/>
          <w:bCs/>
          <w:lang w:val="en-US"/>
        </w:rPr>
        <w:t>.3 Microarray-Based Comparative Genomic Hybridization (</w:t>
      </w:r>
      <w:proofErr w:type="spellStart"/>
      <w:r w:rsidRPr="008470CB">
        <w:rPr>
          <w:b/>
          <w:bCs/>
          <w:lang w:val="en-US"/>
        </w:rPr>
        <w:t>aCGH</w:t>
      </w:r>
      <w:proofErr w:type="spellEnd"/>
      <w:r w:rsidRPr="008470CB">
        <w:rPr>
          <w:b/>
          <w:bCs/>
          <w:lang w:val="en-US"/>
        </w:rPr>
        <w:t>)</w:t>
      </w:r>
    </w:p>
    <w:p w:rsidR="008470CB" w:rsidRPr="008470CB" w:rsidRDefault="008470CB" w:rsidP="008470CB">
      <w:pPr>
        <w:numPr>
          <w:ilvl w:val="0"/>
          <w:numId w:val="4"/>
        </w:numPr>
        <w:rPr>
          <w:lang w:val="en-US"/>
        </w:rPr>
      </w:pPr>
      <w:r w:rsidRPr="008470CB">
        <w:rPr>
          <w:b/>
          <w:bCs/>
          <w:lang w:val="en-US"/>
        </w:rPr>
        <w:t>Principle</w:t>
      </w:r>
      <w:r w:rsidRPr="008470CB">
        <w:rPr>
          <w:lang w:val="en-US"/>
        </w:rPr>
        <w:t>: Detects genome-wide copy number variations (CNVs) via hybridization.</w:t>
      </w:r>
    </w:p>
    <w:p w:rsidR="008470CB" w:rsidRPr="008470CB" w:rsidRDefault="008470CB" w:rsidP="008470CB">
      <w:pPr>
        <w:numPr>
          <w:ilvl w:val="0"/>
          <w:numId w:val="4"/>
        </w:numPr>
        <w:rPr>
          <w:lang w:val="en-US"/>
        </w:rPr>
      </w:pPr>
      <w:r w:rsidRPr="008470CB">
        <w:rPr>
          <w:b/>
          <w:bCs/>
          <w:lang w:val="en-US"/>
        </w:rPr>
        <w:t>Applications</w:t>
      </w:r>
      <w:r w:rsidRPr="008470CB">
        <w:rPr>
          <w:lang w:val="en-US"/>
        </w:rPr>
        <w:t>: Neurodevelopmental disorders (e.g., 16p11.2 deletions in autism).</w:t>
      </w:r>
    </w:p>
    <w:p w:rsidR="008470CB" w:rsidRPr="008470CB" w:rsidRDefault="008470CB" w:rsidP="008470CB">
      <w:pPr>
        <w:numPr>
          <w:ilvl w:val="0"/>
          <w:numId w:val="4"/>
        </w:numPr>
        <w:rPr>
          <w:lang w:val="en-US"/>
        </w:rPr>
      </w:pPr>
      <w:r w:rsidRPr="008470CB">
        <w:rPr>
          <w:b/>
          <w:bCs/>
          <w:lang w:val="en-US"/>
        </w:rPr>
        <w:t>Pros</w:t>
      </w:r>
      <w:r w:rsidRPr="008470CB">
        <w:rPr>
          <w:lang w:val="en-US"/>
        </w:rPr>
        <w:t>: High resolution (50–100 kb), unbiased.</w:t>
      </w:r>
    </w:p>
    <w:p w:rsidR="008470CB" w:rsidRPr="008470CB" w:rsidRDefault="008470CB" w:rsidP="008470CB">
      <w:pPr>
        <w:numPr>
          <w:ilvl w:val="0"/>
          <w:numId w:val="4"/>
        </w:numPr>
        <w:rPr>
          <w:lang w:val="en-US"/>
        </w:rPr>
      </w:pPr>
      <w:r w:rsidRPr="008470CB">
        <w:rPr>
          <w:b/>
          <w:bCs/>
          <w:lang w:val="en-US"/>
        </w:rPr>
        <w:t>Cons</w:t>
      </w:r>
      <w:r w:rsidRPr="008470CB">
        <w:rPr>
          <w:lang w:val="en-US"/>
        </w:rPr>
        <w:t>: Misses balanced rearrangements and small variants.</w:t>
      </w:r>
    </w:p>
    <w:p w:rsidR="008470CB" w:rsidRPr="008470CB" w:rsidRDefault="008470CB" w:rsidP="008470CB">
      <w:pPr>
        <w:rPr>
          <w:b/>
          <w:bCs/>
        </w:rPr>
      </w:pPr>
      <w:r>
        <w:rPr>
          <w:b/>
          <w:bCs/>
          <w:lang w:val="en-US"/>
        </w:rPr>
        <w:t>2</w:t>
      </w:r>
      <w:r w:rsidRPr="008470CB">
        <w:rPr>
          <w:b/>
          <w:bCs/>
        </w:rPr>
        <w:t xml:space="preserve">.4 </w:t>
      </w:r>
      <w:proofErr w:type="spellStart"/>
      <w:r w:rsidRPr="008470CB">
        <w:rPr>
          <w:b/>
          <w:bCs/>
        </w:rPr>
        <w:t>Next-Generation</w:t>
      </w:r>
      <w:proofErr w:type="spellEnd"/>
      <w:r w:rsidRPr="008470CB">
        <w:rPr>
          <w:b/>
          <w:bCs/>
        </w:rPr>
        <w:t xml:space="preserve"> </w:t>
      </w:r>
      <w:proofErr w:type="spellStart"/>
      <w:r w:rsidRPr="008470CB">
        <w:rPr>
          <w:b/>
          <w:bCs/>
        </w:rPr>
        <w:t>Sequencing</w:t>
      </w:r>
      <w:proofErr w:type="spellEnd"/>
      <w:r w:rsidRPr="008470CB">
        <w:rPr>
          <w:b/>
          <w:bCs/>
        </w:rPr>
        <w:t xml:space="preserve"> (NGS)</w:t>
      </w:r>
    </w:p>
    <w:p w:rsidR="008470CB" w:rsidRPr="008470CB" w:rsidRDefault="008470CB" w:rsidP="008470CB">
      <w:pPr>
        <w:numPr>
          <w:ilvl w:val="0"/>
          <w:numId w:val="5"/>
        </w:numPr>
        <w:rPr>
          <w:lang w:val="en-US"/>
        </w:rPr>
      </w:pPr>
      <w:r w:rsidRPr="008470CB">
        <w:rPr>
          <w:b/>
          <w:bCs/>
          <w:lang w:val="en-US"/>
        </w:rPr>
        <w:t>Targeted Panels</w:t>
      </w:r>
      <w:r w:rsidRPr="008470CB">
        <w:rPr>
          <w:lang w:val="en-US"/>
        </w:rPr>
        <w:t>: Customized gene sets (e.g., epilepsy panels covering SCN1A, KCNQ2).</w:t>
      </w:r>
    </w:p>
    <w:p w:rsidR="008470CB" w:rsidRPr="008470CB" w:rsidRDefault="008470CB" w:rsidP="008470CB">
      <w:pPr>
        <w:numPr>
          <w:ilvl w:val="1"/>
          <w:numId w:val="5"/>
        </w:numPr>
        <w:rPr>
          <w:lang w:val="en-US"/>
        </w:rPr>
      </w:pPr>
      <w:r w:rsidRPr="008470CB">
        <w:rPr>
          <w:b/>
          <w:bCs/>
          <w:lang w:val="en-US"/>
        </w:rPr>
        <w:t>Pros</w:t>
      </w:r>
      <w:r w:rsidRPr="008470CB">
        <w:rPr>
          <w:lang w:val="en-US"/>
        </w:rPr>
        <w:t>: High coverage, cost-effective for specific phenotypes.</w:t>
      </w:r>
    </w:p>
    <w:p w:rsidR="008470CB" w:rsidRPr="008470CB" w:rsidRDefault="008470CB" w:rsidP="008470CB">
      <w:pPr>
        <w:numPr>
          <w:ilvl w:val="1"/>
          <w:numId w:val="5"/>
        </w:numPr>
        <w:rPr>
          <w:lang w:val="en-US"/>
        </w:rPr>
      </w:pPr>
      <w:r w:rsidRPr="008470CB">
        <w:rPr>
          <w:b/>
          <w:bCs/>
          <w:lang w:val="en-US"/>
        </w:rPr>
        <w:t>Cons</w:t>
      </w:r>
      <w:r w:rsidRPr="008470CB">
        <w:rPr>
          <w:lang w:val="en-US"/>
        </w:rPr>
        <w:t>: Limited to included genes.</w:t>
      </w:r>
    </w:p>
    <w:p w:rsidR="008470CB" w:rsidRPr="008470CB" w:rsidRDefault="008470CB" w:rsidP="008470CB">
      <w:pPr>
        <w:numPr>
          <w:ilvl w:val="0"/>
          <w:numId w:val="5"/>
        </w:numPr>
        <w:rPr>
          <w:lang w:val="en-US"/>
        </w:rPr>
      </w:pPr>
      <w:r w:rsidRPr="008470CB">
        <w:rPr>
          <w:b/>
          <w:bCs/>
          <w:lang w:val="en-US"/>
        </w:rPr>
        <w:t>Whole Exome Sequencing (WES)</w:t>
      </w:r>
      <w:r w:rsidRPr="008470CB">
        <w:rPr>
          <w:lang w:val="en-US"/>
        </w:rPr>
        <w:t>: Captures all protein-coding regions.</w:t>
      </w:r>
    </w:p>
    <w:p w:rsidR="008470CB" w:rsidRPr="008470CB" w:rsidRDefault="008470CB" w:rsidP="008470CB">
      <w:pPr>
        <w:numPr>
          <w:ilvl w:val="1"/>
          <w:numId w:val="5"/>
        </w:numPr>
        <w:rPr>
          <w:lang w:val="en-US"/>
        </w:rPr>
      </w:pPr>
      <w:r w:rsidRPr="008470CB">
        <w:rPr>
          <w:b/>
          <w:bCs/>
          <w:lang w:val="en-US"/>
        </w:rPr>
        <w:t>Applications</w:t>
      </w:r>
      <w:r w:rsidRPr="008470CB">
        <w:rPr>
          <w:lang w:val="en-US"/>
        </w:rPr>
        <w:t xml:space="preserve">: Heterogeneous disorders (e.g., </w:t>
      </w:r>
      <w:proofErr w:type="spellStart"/>
      <w:r w:rsidRPr="008470CB">
        <w:rPr>
          <w:lang w:val="en-US"/>
        </w:rPr>
        <w:t>leukodystrophies</w:t>
      </w:r>
      <w:proofErr w:type="spellEnd"/>
      <w:r w:rsidRPr="008470CB">
        <w:rPr>
          <w:lang w:val="en-US"/>
        </w:rPr>
        <w:t>).</w:t>
      </w:r>
    </w:p>
    <w:p w:rsidR="008470CB" w:rsidRPr="008470CB" w:rsidRDefault="008470CB" w:rsidP="008470CB">
      <w:pPr>
        <w:numPr>
          <w:ilvl w:val="1"/>
          <w:numId w:val="5"/>
        </w:numPr>
        <w:rPr>
          <w:lang w:val="en-US"/>
        </w:rPr>
      </w:pPr>
      <w:r w:rsidRPr="008470CB">
        <w:rPr>
          <w:b/>
          <w:bCs/>
          <w:lang w:val="en-US"/>
        </w:rPr>
        <w:t>Challenges</w:t>
      </w:r>
      <w:r w:rsidRPr="008470CB">
        <w:rPr>
          <w:lang w:val="en-US"/>
        </w:rPr>
        <w:t>: Non-coding variants and structural variations missed.</w:t>
      </w:r>
    </w:p>
    <w:p w:rsidR="008470CB" w:rsidRPr="008470CB" w:rsidRDefault="008470CB" w:rsidP="008470CB">
      <w:pPr>
        <w:numPr>
          <w:ilvl w:val="0"/>
          <w:numId w:val="5"/>
        </w:numPr>
        <w:rPr>
          <w:lang w:val="en-US"/>
        </w:rPr>
      </w:pPr>
      <w:r w:rsidRPr="008470CB">
        <w:rPr>
          <w:b/>
          <w:bCs/>
          <w:lang w:val="en-US"/>
        </w:rPr>
        <w:t>Whole Genome Sequencing (WGS)</w:t>
      </w:r>
      <w:r w:rsidRPr="008470CB">
        <w:rPr>
          <w:lang w:val="en-US"/>
        </w:rPr>
        <w:t>: Analyzes entire genome, including non-coding regions.</w:t>
      </w:r>
    </w:p>
    <w:p w:rsidR="008470CB" w:rsidRPr="008470CB" w:rsidRDefault="008470CB" w:rsidP="008470CB">
      <w:pPr>
        <w:numPr>
          <w:ilvl w:val="1"/>
          <w:numId w:val="5"/>
        </w:numPr>
        <w:rPr>
          <w:lang w:val="en-US"/>
        </w:rPr>
      </w:pPr>
      <w:r w:rsidRPr="008470CB">
        <w:rPr>
          <w:b/>
          <w:bCs/>
          <w:lang w:val="en-US"/>
        </w:rPr>
        <w:t>Pros</w:t>
      </w:r>
      <w:r w:rsidRPr="008470CB">
        <w:rPr>
          <w:lang w:val="en-US"/>
        </w:rPr>
        <w:t xml:space="preserve">: Detects structural variants and deep </w:t>
      </w:r>
      <w:proofErr w:type="spellStart"/>
      <w:r w:rsidRPr="008470CB">
        <w:rPr>
          <w:lang w:val="en-US"/>
        </w:rPr>
        <w:t>intronic</w:t>
      </w:r>
      <w:proofErr w:type="spellEnd"/>
      <w:r w:rsidRPr="008470CB">
        <w:rPr>
          <w:lang w:val="en-US"/>
        </w:rPr>
        <w:t xml:space="preserve"> mutations.</w:t>
      </w:r>
    </w:p>
    <w:p w:rsidR="008470CB" w:rsidRPr="008470CB" w:rsidRDefault="008470CB" w:rsidP="008470CB">
      <w:pPr>
        <w:numPr>
          <w:ilvl w:val="1"/>
          <w:numId w:val="5"/>
        </w:numPr>
        <w:rPr>
          <w:lang w:val="en-US"/>
        </w:rPr>
      </w:pPr>
      <w:r w:rsidRPr="008470CB">
        <w:rPr>
          <w:b/>
          <w:bCs/>
          <w:lang w:val="en-US"/>
        </w:rPr>
        <w:t>Cons</w:t>
      </w:r>
      <w:r w:rsidRPr="008470CB">
        <w:rPr>
          <w:lang w:val="en-US"/>
        </w:rPr>
        <w:t>: High cost, data storage challenges.</w:t>
      </w:r>
    </w:p>
    <w:p w:rsidR="008470CB" w:rsidRPr="008470CB" w:rsidRDefault="008470CB" w:rsidP="008470CB">
      <w:pPr>
        <w:rPr>
          <w:b/>
          <w:bCs/>
        </w:rPr>
      </w:pPr>
      <w:r>
        <w:rPr>
          <w:b/>
          <w:bCs/>
          <w:lang w:val="en-US"/>
        </w:rPr>
        <w:t>2</w:t>
      </w:r>
      <w:r w:rsidRPr="008470CB">
        <w:rPr>
          <w:b/>
          <w:bCs/>
        </w:rPr>
        <w:t xml:space="preserve">.5 </w:t>
      </w:r>
      <w:proofErr w:type="spellStart"/>
      <w:r w:rsidRPr="008470CB">
        <w:rPr>
          <w:b/>
          <w:bCs/>
        </w:rPr>
        <w:t>Emerging</w:t>
      </w:r>
      <w:proofErr w:type="spellEnd"/>
      <w:r w:rsidRPr="008470CB">
        <w:rPr>
          <w:b/>
          <w:bCs/>
        </w:rPr>
        <w:t xml:space="preserve"> </w:t>
      </w:r>
      <w:proofErr w:type="spellStart"/>
      <w:r w:rsidRPr="008470CB">
        <w:rPr>
          <w:b/>
          <w:bCs/>
        </w:rPr>
        <w:t>Technologies</w:t>
      </w:r>
      <w:proofErr w:type="spellEnd"/>
    </w:p>
    <w:p w:rsidR="008470CB" w:rsidRPr="008470CB" w:rsidRDefault="008470CB" w:rsidP="008470CB">
      <w:pPr>
        <w:numPr>
          <w:ilvl w:val="0"/>
          <w:numId w:val="6"/>
        </w:numPr>
        <w:rPr>
          <w:lang w:val="en-US"/>
        </w:rPr>
      </w:pPr>
      <w:r w:rsidRPr="008470CB">
        <w:rPr>
          <w:b/>
          <w:bCs/>
          <w:lang w:val="en-US"/>
        </w:rPr>
        <w:lastRenderedPageBreak/>
        <w:t>Long-Read Sequencing (</w:t>
      </w:r>
      <w:proofErr w:type="spellStart"/>
      <w:r w:rsidRPr="008470CB">
        <w:rPr>
          <w:b/>
          <w:bCs/>
          <w:lang w:val="en-US"/>
        </w:rPr>
        <w:t>PacBio</w:t>
      </w:r>
      <w:proofErr w:type="spellEnd"/>
      <w:r w:rsidRPr="008470CB">
        <w:rPr>
          <w:b/>
          <w:bCs/>
          <w:lang w:val="en-US"/>
        </w:rPr>
        <w:t xml:space="preserve">, Oxford </w:t>
      </w:r>
      <w:proofErr w:type="spellStart"/>
      <w:r w:rsidRPr="008470CB">
        <w:rPr>
          <w:b/>
          <w:bCs/>
          <w:lang w:val="en-US"/>
        </w:rPr>
        <w:t>Nanopore</w:t>
      </w:r>
      <w:proofErr w:type="spellEnd"/>
      <w:r w:rsidRPr="008470CB">
        <w:rPr>
          <w:b/>
          <w:bCs/>
          <w:lang w:val="en-US"/>
        </w:rPr>
        <w:t>)</w:t>
      </w:r>
      <w:r w:rsidRPr="008470CB">
        <w:rPr>
          <w:lang w:val="en-US"/>
        </w:rPr>
        <w:t>: Resolves repetitive regions (e.g., ATXN2 in spinocerebellar ataxia).</w:t>
      </w:r>
    </w:p>
    <w:p w:rsidR="008470CB" w:rsidRPr="008470CB" w:rsidRDefault="008470CB" w:rsidP="008470CB">
      <w:pPr>
        <w:numPr>
          <w:ilvl w:val="0"/>
          <w:numId w:val="6"/>
        </w:numPr>
        <w:rPr>
          <w:lang w:val="en-US"/>
        </w:rPr>
      </w:pPr>
      <w:r w:rsidRPr="008470CB">
        <w:rPr>
          <w:b/>
          <w:bCs/>
          <w:lang w:val="en-US"/>
        </w:rPr>
        <w:t>CRISPR-Based Diagnostics</w:t>
      </w:r>
      <w:r w:rsidRPr="008470CB">
        <w:rPr>
          <w:lang w:val="en-US"/>
        </w:rPr>
        <w:t>: Potential for rapid point-of-care testing (under research).</w:t>
      </w:r>
    </w:p>
    <w:p w:rsidR="008470CB" w:rsidRPr="008470CB" w:rsidRDefault="008470CB" w:rsidP="008470CB">
      <w:pPr>
        <w:numPr>
          <w:ilvl w:val="0"/>
          <w:numId w:val="6"/>
        </w:numPr>
        <w:rPr>
          <w:lang w:val="en-US"/>
        </w:rPr>
      </w:pPr>
      <w:r w:rsidRPr="008470CB">
        <w:rPr>
          <w:b/>
          <w:bCs/>
          <w:lang w:val="en-US"/>
        </w:rPr>
        <w:t>Single-Cell Sequencing</w:t>
      </w:r>
      <w:r w:rsidRPr="008470CB">
        <w:rPr>
          <w:lang w:val="en-US"/>
        </w:rPr>
        <w:t>: Investigates somatic mosaicism in epilepsy or brain tumors.</w:t>
      </w:r>
    </w:p>
    <w:p w:rsidR="008470CB" w:rsidRPr="008470CB" w:rsidRDefault="008470CB" w:rsidP="008470CB">
      <w:pPr>
        <w:rPr>
          <w:b/>
          <w:bCs/>
        </w:rPr>
      </w:pPr>
      <w:r>
        <w:rPr>
          <w:b/>
          <w:bCs/>
          <w:lang w:val="en-US"/>
        </w:rPr>
        <w:t>3</w:t>
      </w:r>
      <w:r w:rsidRPr="008470CB">
        <w:rPr>
          <w:b/>
          <w:bCs/>
        </w:rPr>
        <w:t xml:space="preserve">. </w:t>
      </w:r>
      <w:proofErr w:type="spellStart"/>
      <w:r w:rsidRPr="008470CB">
        <w:rPr>
          <w:b/>
          <w:bCs/>
        </w:rPr>
        <w:t>Data</w:t>
      </w:r>
      <w:proofErr w:type="spellEnd"/>
      <w:r w:rsidRPr="008470CB">
        <w:rPr>
          <w:b/>
          <w:bCs/>
        </w:rPr>
        <w:t xml:space="preserve"> </w:t>
      </w:r>
      <w:proofErr w:type="spellStart"/>
      <w:r w:rsidRPr="008470CB">
        <w:rPr>
          <w:b/>
          <w:bCs/>
        </w:rPr>
        <w:t>Analysis</w:t>
      </w:r>
      <w:proofErr w:type="spellEnd"/>
      <w:r w:rsidRPr="008470CB">
        <w:rPr>
          <w:b/>
          <w:bCs/>
        </w:rPr>
        <w:t xml:space="preserve"> </w:t>
      </w:r>
      <w:proofErr w:type="spellStart"/>
      <w:r w:rsidRPr="008470CB">
        <w:rPr>
          <w:b/>
          <w:bCs/>
        </w:rPr>
        <w:t>and</w:t>
      </w:r>
      <w:proofErr w:type="spellEnd"/>
      <w:r w:rsidRPr="008470CB">
        <w:rPr>
          <w:b/>
          <w:bCs/>
        </w:rPr>
        <w:t xml:space="preserve"> </w:t>
      </w:r>
      <w:proofErr w:type="spellStart"/>
      <w:r w:rsidRPr="008470CB">
        <w:rPr>
          <w:b/>
          <w:bCs/>
        </w:rPr>
        <w:t>Interpretation</w:t>
      </w:r>
      <w:proofErr w:type="spellEnd"/>
    </w:p>
    <w:p w:rsidR="008470CB" w:rsidRPr="008470CB" w:rsidRDefault="008470CB" w:rsidP="008470CB">
      <w:pPr>
        <w:numPr>
          <w:ilvl w:val="0"/>
          <w:numId w:val="7"/>
        </w:numPr>
        <w:rPr>
          <w:lang w:val="en-US"/>
        </w:rPr>
      </w:pPr>
      <w:r w:rsidRPr="008470CB">
        <w:rPr>
          <w:b/>
          <w:bCs/>
          <w:lang w:val="en-US"/>
        </w:rPr>
        <w:t>Bioinformatics Pipelines</w:t>
      </w:r>
      <w:r w:rsidRPr="008470CB">
        <w:rPr>
          <w:lang w:val="en-US"/>
        </w:rPr>
        <w:t>: Alignment (BWA, Bowtie), variant calling (GATK), annotation (ANNOVAR).</w:t>
      </w:r>
    </w:p>
    <w:p w:rsidR="008470CB" w:rsidRPr="008470CB" w:rsidRDefault="008470CB" w:rsidP="008470CB">
      <w:pPr>
        <w:numPr>
          <w:ilvl w:val="0"/>
          <w:numId w:val="7"/>
        </w:numPr>
        <w:rPr>
          <w:lang w:val="en-US"/>
        </w:rPr>
      </w:pPr>
      <w:r w:rsidRPr="008470CB">
        <w:rPr>
          <w:b/>
          <w:bCs/>
          <w:lang w:val="en-US"/>
        </w:rPr>
        <w:t>Variant Classification</w:t>
      </w:r>
      <w:r w:rsidRPr="008470CB">
        <w:rPr>
          <w:lang w:val="en-US"/>
        </w:rPr>
        <w:t>: ACMG/AMP guidelines categorize variants as pathogenic, benign, or VUS.</w:t>
      </w:r>
    </w:p>
    <w:p w:rsidR="008470CB" w:rsidRPr="008470CB" w:rsidRDefault="008470CB" w:rsidP="008470CB">
      <w:pPr>
        <w:numPr>
          <w:ilvl w:val="0"/>
          <w:numId w:val="7"/>
        </w:numPr>
        <w:rPr>
          <w:lang w:val="en-US"/>
        </w:rPr>
      </w:pPr>
      <w:r w:rsidRPr="008470CB">
        <w:rPr>
          <w:b/>
          <w:bCs/>
          <w:lang w:val="en-US"/>
        </w:rPr>
        <w:t>Databases</w:t>
      </w:r>
      <w:r w:rsidRPr="008470CB">
        <w:rPr>
          <w:lang w:val="en-US"/>
        </w:rPr>
        <w:t xml:space="preserve">: </w:t>
      </w:r>
      <w:proofErr w:type="spellStart"/>
      <w:r w:rsidRPr="008470CB">
        <w:rPr>
          <w:lang w:val="en-US"/>
        </w:rPr>
        <w:t>ClinVar</w:t>
      </w:r>
      <w:proofErr w:type="spellEnd"/>
      <w:r w:rsidRPr="008470CB">
        <w:rPr>
          <w:lang w:val="en-US"/>
        </w:rPr>
        <w:t xml:space="preserve">, </w:t>
      </w:r>
      <w:proofErr w:type="spellStart"/>
      <w:r w:rsidRPr="008470CB">
        <w:rPr>
          <w:lang w:val="en-US"/>
        </w:rPr>
        <w:t>gnomAD</w:t>
      </w:r>
      <w:proofErr w:type="spellEnd"/>
      <w:r w:rsidRPr="008470CB">
        <w:rPr>
          <w:lang w:val="en-US"/>
        </w:rPr>
        <w:t>, and HGMD aid in interpreting variants’ clinical significance.</w:t>
      </w:r>
    </w:p>
    <w:p w:rsidR="008470CB" w:rsidRPr="008470CB" w:rsidRDefault="008470CB" w:rsidP="008470CB">
      <w:pPr>
        <w:rPr>
          <w:b/>
          <w:bCs/>
        </w:rPr>
      </w:pPr>
      <w:r>
        <w:rPr>
          <w:b/>
          <w:bCs/>
          <w:lang w:val="en-US"/>
        </w:rPr>
        <w:t>4</w:t>
      </w:r>
      <w:r w:rsidRPr="008470CB">
        <w:rPr>
          <w:b/>
          <w:bCs/>
        </w:rPr>
        <w:t xml:space="preserve">. </w:t>
      </w:r>
      <w:proofErr w:type="spellStart"/>
      <w:r w:rsidRPr="008470CB">
        <w:rPr>
          <w:b/>
          <w:bCs/>
        </w:rPr>
        <w:t>Ethical</w:t>
      </w:r>
      <w:proofErr w:type="spellEnd"/>
      <w:r w:rsidRPr="008470CB">
        <w:rPr>
          <w:b/>
          <w:bCs/>
        </w:rPr>
        <w:t xml:space="preserve"> </w:t>
      </w:r>
      <w:proofErr w:type="spellStart"/>
      <w:r w:rsidRPr="008470CB">
        <w:rPr>
          <w:b/>
          <w:bCs/>
        </w:rPr>
        <w:t>and</w:t>
      </w:r>
      <w:proofErr w:type="spellEnd"/>
      <w:r w:rsidRPr="008470CB">
        <w:rPr>
          <w:b/>
          <w:bCs/>
        </w:rPr>
        <w:t xml:space="preserve"> </w:t>
      </w:r>
      <w:proofErr w:type="spellStart"/>
      <w:r w:rsidRPr="008470CB">
        <w:rPr>
          <w:b/>
          <w:bCs/>
        </w:rPr>
        <w:t>Practical</w:t>
      </w:r>
      <w:proofErr w:type="spellEnd"/>
      <w:r w:rsidRPr="008470CB">
        <w:rPr>
          <w:b/>
          <w:bCs/>
        </w:rPr>
        <w:t xml:space="preserve"> </w:t>
      </w:r>
      <w:proofErr w:type="spellStart"/>
      <w:r w:rsidRPr="008470CB">
        <w:rPr>
          <w:b/>
          <w:bCs/>
        </w:rPr>
        <w:t>Considerations</w:t>
      </w:r>
      <w:proofErr w:type="spellEnd"/>
    </w:p>
    <w:p w:rsidR="008470CB" w:rsidRPr="008470CB" w:rsidRDefault="008470CB" w:rsidP="008470CB">
      <w:pPr>
        <w:numPr>
          <w:ilvl w:val="0"/>
          <w:numId w:val="8"/>
        </w:numPr>
        <w:rPr>
          <w:lang w:val="en-US"/>
        </w:rPr>
      </w:pPr>
      <w:r w:rsidRPr="008470CB">
        <w:rPr>
          <w:b/>
          <w:bCs/>
          <w:lang w:val="en-US"/>
        </w:rPr>
        <w:t>Counseling</w:t>
      </w:r>
      <w:r w:rsidRPr="008470CB">
        <w:rPr>
          <w:lang w:val="en-US"/>
        </w:rPr>
        <w:t xml:space="preserve">: Essential for </w:t>
      </w:r>
      <w:proofErr w:type="spellStart"/>
      <w:r w:rsidRPr="008470CB">
        <w:rPr>
          <w:lang w:val="en-US"/>
        </w:rPr>
        <w:t>presymptomatic</w:t>
      </w:r>
      <w:proofErr w:type="spellEnd"/>
      <w:r w:rsidRPr="008470CB">
        <w:rPr>
          <w:lang w:val="en-US"/>
        </w:rPr>
        <w:t xml:space="preserve"> testing (e.g., Huntington’s) and managing VUS.</w:t>
      </w:r>
    </w:p>
    <w:p w:rsidR="008470CB" w:rsidRPr="008470CB" w:rsidRDefault="008470CB" w:rsidP="008470CB">
      <w:pPr>
        <w:numPr>
          <w:ilvl w:val="0"/>
          <w:numId w:val="8"/>
        </w:numPr>
        <w:rPr>
          <w:lang w:val="en-US"/>
        </w:rPr>
      </w:pPr>
      <w:r w:rsidRPr="008470CB">
        <w:rPr>
          <w:b/>
          <w:bCs/>
          <w:lang w:val="en-US"/>
        </w:rPr>
        <w:t>Incidental Findings</w:t>
      </w:r>
      <w:r w:rsidRPr="008470CB">
        <w:rPr>
          <w:lang w:val="en-US"/>
        </w:rPr>
        <w:t xml:space="preserve">: E.g., APOE </w:t>
      </w:r>
      <w:r w:rsidRPr="008470CB">
        <w:t>ε</w:t>
      </w:r>
      <w:r w:rsidRPr="008470CB">
        <w:rPr>
          <w:lang w:val="en-US"/>
        </w:rPr>
        <w:t>4 in Alzheimer’s testing, requiring careful disclosure policies.</w:t>
      </w:r>
    </w:p>
    <w:p w:rsidR="008470CB" w:rsidRPr="008470CB" w:rsidRDefault="008470CB" w:rsidP="008470CB">
      <w:pPr>
        <w:numPr>
          <w:ilvl w:val="0"/>
          <w:numId w:val="8"/>
        </w:numPr>
        <w:rPr>
          <w:lang w:val="en-US"/>
        </w:rPr>
      </w:pPr>
      <w:r w:rsidRPr="008470CB">
        <w:rPr>
          <w:b/>
          <w:bCs/>
          <w:lang w:val="en-US"/>
        </w:rPr>
        <w:t>Prenatal Testing</w:t>
      </w:r>
      <w:r w:rsidRPr="008470CB">
        <w:rPr>
          <w:lang w:val="en-US"/>
        </w:rPr>
        <w:t xml:space="preserve">: CVS/amniocentesis for early diagnosis of SMA or </w:t>
      </w:r>
      <w:proofErr w:type="spellStart"/>
      <w:r w:rsidRPr="008470CB">
        <w:rPr>
          <w:lang w:val="en-US"/>
        </w:rPr>
        <w:t>Tay</w:t>
      </w:r>
      <w:proofErr w:type="spellEnd"/>
      <w:r w:rsidRPr="008470CB">
        <w:rPr>
          <w:lang w:val="en-US"/>
        </w:rPr>
        <w:t>-Sachs.</w:t>
      </w:r>
    </w:p>
    <w:p w:rsidR="008470CB" w:rsidRPr="008470CB" w:rsidRDefault="008470CB" w:rsidP="008470CB">
      <w:pPr>
        <w:rPr>
          <w:b/>
          <w:bCs/>
        </w:rPr>
      </w:pPr>
      <w:r>
        <w:rPr>
          <w:b/>
          <w:bCs/>
          <w:lang w:val="en-US"/>
        </w:rPr>
        <w:t>5</w:t>
      </w:r>
      <w:r w:rsidRPr="008470CB">
        <w:rPr>
          <w:b/>
          <w:bCs/>
        </w:rPr>
        <w:t xml:space="preserve">. </w:t>
      </w:r>
      <w:proofErr w:type="spellStart"/>
      <w:r w:rsidRPr="008470CB">
        <w:rPr>
          <w:b/>
          <w:bCs/>
        </w:rPr>
        <w:t>Challenges</w:t>
      </w:r>
      <w:proofErr w:type="spellEnd"/>
      <w:r w:rsidRPr="008470CB">
        <w:rPr>
          <w:b/>
          <w:bCs/>
        </w:rPr>
        <w:t xml:space="preserve"> </w:t>
      </w:r>
      <w:proofErr w:type="spellStart"/>
      <w:r w:rsidRPr="008470CB">
        <w:rPr>
          <w:b/>
          <w:bCs/>
        </w:rPr>
        <w:t>and</w:t>
      </w:r>
      <w:proofErr w:type="spellEnd"/>
      <w:r w:rsidRPr="008470CB">
        <w:rPr>
          <w:b/>
          <w:bCs/>
        </w:rPr>
        <w:t xml:space="preserve"> </w:t>
      </w:r>
      <w:proofErr w:type="spellStart"/>
      <w:r w:rsidRPr="008470CB">
        <w:rPr>
          <w:b/>
          <w:bCs/>
        </w:rPr>
        <w:t>Future</w:t>
      </w:r>
      <w:proofErr w:type="spellEnd"/>
      <w:r w:rsidRPr="008470CB">
        <w:rPr>
          <w:b/>
          <w:bCs/>
        </w:rPr>
        <w:t xml:space="preserve"> </w:t>
      </w:r>
      <w:proofErr w:type="spellStart"/>
      <w:r w:rsidRPr="008470CB">
        <w:rPr>
          <w:b/>
          <w:bCs/>
        </w:rPr>
        <w:t>Directions</w:t>
      </w:r>
      <w:proofErr w:type="spellEnd"/>
    </w:p>
    <w:p w:rsidR="008470CB" w:rsidRPr="008470CB" w:rsidRDefault="008470CB" w:rsidP="008470CB">
      <w:pPr>
        <w:numPr>
          <w:ilvl w:val="0"/>
          <w:numId w:val="9"/>
        </w:numPr>
        <w:rPr>
          <w:lang w:val="en-US"/>
        </w:rPr>
      </w:pPr>
      <w:r w:rsidRPr="008470CB">
        <w:rPr>
          <w:b/>
          <w:bCs/>
          <w:lang w:val="en-US"/>
        </w:rPr>
        <w:t>Genetic Heterogeneity</w:t>
      </w:r>
      <w:r w:rsidRPr="008470CB">
        <w:rPr>
          <w:lang w:val="en-US"/>
        </w:rPr>
        <w:t>: Overlapping phenotypes (e.g., CMT subtypes) complicate diagnosis.</w:t>
      </w:r>
    </w:p>
    <w:p w:rsidR="008470CB" w:rsidRPr="008470CB" w:rsidRDefault="008470CB" w:rsidP="008470CB">
      <w:pPr>
        <w:numPr>
          <w:ilvl w:val="0"/>
          <w:numId w:val="9"/>
        </w:numPr>
        <w:rPr>
          <w:lang w:val="en-US"/>
        </w:rPr>
      </w:pPr>
      <w:r w:rsidRPr="008470CB">
        <w:rPr>
          <w:b/>
          <w:bCs/>
          <w:lang w:val="en-US"/>
        </w:rPr>
        <w:t>Technical Limitations</w:t>
      </w:r>
      <w:r w:rsidRPr="008470CB">
        <w:rPr>
          <w:lang w:val="en-US"/>
        </w:rPr>
        <w:t>: GC-rich regions and pseudogenes (e.g., PMS2 in Lynch syndrome).</w:t>
      </w:r>
    </w:p>
    <w:p w:rsidR="008470CB" w:rsidRPr="008470CB" w:rsidRDefault="008470CB" w:rsidP="008470CB">
      <w:pPr>
        <w:numPr>
          <w:ilvl w:val="0"/>
          <w:numId w:val="9"/>
        </w:numPr>
        <w:rPr>
          <w:lang w:val="en-US"/>
        </w:rPr>
      </w:pPr>
      <w:r w:rsidRPr="008470CB">
        <w:rPr>
          <w:b/>
          <w:bCs/>
          <w:lang w:val="en-US"/>
        </w:rPr>
        <w:t>Integration of Multi-Omics</w:t>
      </w:r>
      <w:r w:rsidRPr="008470CB">
        <w:rPr>
          <w:lang w:val="en-US"/>
        </w:rPr>
        <w:t>: Combining RNA-</w:t>
      </w:r>
      <w:proofErr w:type="spellStart"/>
      <w:r w:rsidRPr="008470CB">
        <w:rPr>
          <w:lang w:val="en-US"/>
        </w:rPr>
        <w:t>seq</w:t>
      </w:r>
      <w:proofErr w:type="spellEnd"/>
      <w:r w:rsidRPr="008470CB">
        <w:rPr>
          <w:lang w:val="en-US"/>
        </w:rPr>
        <w:t>, metabolomics, and epigenetics for unresolved cases.</w:t>
      </w:r>
    </w:p>
    <w:p w:rsidR="008470CB" w:rsidRPr="008470CB" w:rsidRDefault="008470CB" w:rsidP="008470CB">
      <w:pPr>
        <w:numPr>
          <w:ilvl w:val="0"/>
          <w:numId w:val="9"/>
        </w:numPr>
        <w:rPr>
          <w:lang w:val="en-US"/>
        </w:rPr>
      </w:pPr>
      <w:r w:rsidRPr="008470CB">
        <w:rPr>
          <w:b/>
          <w:bCs/>
          <w:lang w:val="en-US"/>
        </w:rPr>
        <w:t>AI-Driven Analysis</w:t>
      </w:r>
      <w:r w:rsidRPr="008470CB">
        <w:rPr>
          <w:lang w:val="en-US"/>
        </w:rPr>
        <w:t>: Machine learning to prioritize variants and predict pathogenicity.</w:t>
      </w:r>
    </w:p>
    <w:p w:rsidR="008470CB" w:rsidRDefault="008470CB" w:rsidP="008470CB">
      <w:pPr>
        <w:rPr>
          <w:b/>
          <w:bCs/>
          <w:lang w:val="en-US"/>
        </w:rPr>
      </w:pPr>
    </w:p>
    <w:p w:rsidR="008470CB" w:rsidRPr="008470CB" w:rsidRDefault="008470CB" w:rsidP="008470CB">
      <w:pPr>
        <w:rPr>
          <w:b/>
          <w:bCs/>
          <w:lang w:val="en-US"/>
        </w:rPr>
      </w:pPr>
      <w:r w:rsidRPr="008470CB">
        <w:rPr>
          <w:b/>
          <w:bCs/>
          <w:lang w:val="en-US"/>
        </w:rPr>
        <w:t>Conclusion</w:t>
      </w:r>
    </w:p>
    <w:p w:rsidR="008470CB" w:rsidRDefault="008470CB" w:rsidP="008470CB">
      <w:pPr>
        <w:rPr>
          <w:lang w:val="en-US"/>
        </w:rPr>
      </w:pPr>
      <w:r w:rsidRPr="008470CB">
        <w:rPr>
          <w:lang w:val="en-US"/>
        </w:rPr>
        <w:t>Genetic testing methodologies in neurology range from targeted PCR to comprehensive WGS, each with unique applications. While NGS dominates clinical practice, emerging technologies like long-read sequencing promise to address current gaps. Collaborative efforts in data sharing and ethical frameworks are critical to advancing precision neurology.</w:t>
      </w:r>
    </w:p>
    <w:p w:rsidR="008470CB" w:rsidRPr="008470CB" w:rsidRDefault="008470CB" w:rsidP="008470CB">
      <w:pPr>
        <w:rPr>
          <w:lang w:val="en-US"/>
        </w:rPr>
      </w:pPr>
    </w:p>
    <w:p w:rsidR="008470CB" w:rsidRPr="008470CB" w:rsidRDefault="008470CB" w:rsidP="008470CB">
      <w:r w:rsidRPr="008470CB">
        <w:pict>
          <v:rect id="_x0000_i1025" style="width:0;height:.75pt" o:hralign="center" o:hrstd="t" o:hrnoshade="t" o:hr="t" fillcolor="#404040" stroked="f"/>
        </w:pict>
      </w:r>
    </w:p>
    <w:p w:rsidR="008470CB" w:rsidRPr="008470CB" w:rsidRDefault="008470CB" w:rsidP="008470CB">
      <w:proofErr w:type="spellStart"/>
      <w:r w:rsidRPr="008470CB">
        <w:rPr>
          <w:b/>
          <w:bCs/>
        </w:rPr>
        <w:t>Tables</w:t>
      </w:r>
      <w:proofErr w:type="spellEnd"/>
      <w:r w:rsidRPr="008470CB">
        <w:rPr>
          <w:b/>
          <w:bCs/>
        </w:rPr>
        <w:t xml:space="preserve"> </w:t>
      </w:r>
      <w:proofErr w:type="spellStart"/>
      <w:r w:rsidRPr="008470CB">
        <w:rPr>
          <w:b/>
          <w:bCs/>
        </w:rPr>
        <w:t>and</w:t>
      </w:r>
      <w:proofErr w:type="spellEnd"/>
      <w:r w:rsidRPr="008470CB">
        <w:rPr>
          <w:b/>
          <w:bCs/>
        </w:rPr>
        <w:t xml:space="preserve"> </w:t>
      </w:r>
      <w:proofErr w:type="spellStart"/>
      <w:r w:rsidRPr="008470CB">
        <w:rPr>
          <w:b/>
          <w:bCs/>
        </w:rPr>
        <w:t>Figures</w:t>
      </w:r>
      <w:proofErr w:type="spellEnd"/>
      <w:r w:rsidRPr="008470CB">
        <w:t>:</w:t>
      </w:r>
    </w:p>
    <w:p w:rsidR="008470CB" w:rsidRPr="008470CB" w:rsidRDefault="008470CB" w:rsidP="008470CB">
      <w:pPr>
        <w:numPr>
          <w:ilvl w:val="0"/>
          <w:numId w:val="10"/>
        </w:numPr>
        <w:rPr>
          <w:lang w:val="en-US"/>
        </w:rPr>
      </w:pPr>
      <w:r w:rsidRPr="008470CB">
        <w:rPr>
          <w:b/>
          <w:bCs/>
          <w:lang w:val="en-US"/>
        </w:rPr>
        <w:t>Table 1</w:t>
      </w:r>
      <w:r w:rsidRPr="008470CB">
        <w:rPr>
          <w:lang w:val="en-US"/>
        </w:rPr>
        <w:t>: Comparison of Genetic Testing Methods (Resolution, Cost, Turnaround Time).</w:t>
      </w:r>
    </w:p>
    <w:p w:rsidR="008470CB" w:rsidRPr="008470CB" w:rsidRDefault="008470CB" w:rsidP="008470CB">
      <w:pPr>
        <w:numPr>
          <w:ilvl w:val="0"/>
          <w:numId w:val="10"/>
        </w:numPr>
        <w:rPr>
          <w:lang w:val="en-US"/>
        </w:rPr>
      </w:pPr>
      <w:r w:rsidRPr="008470CB">
        <w:rPr>
          <w:b/>
          <w:bCs/>
          <w:lang w:val="en-US"/>
        </w:rPr>
        <w:t>Figure 1</w:t>
      </w:r>
      <w:r w:rsidRPr="008470CB">
        <w:rPr>
          <w:lang w:val="en-US"/>
        </w:rPr>
        <w:t>: Diagnostic Workflow for Neurological Disorders (From Phenotype to Gene).</w:t>
      </w:r>
    </w:p>
    <w:p w:rsidR="008470CB" w:rsidRPr="008470CB" w:rsidRDefault="008470CB" w:rsidP="008470CB">
      <w:pPr>
        <w:rPr>
          <w:lang w:val="en-US"/>
        </w:rPr>
      </w:pPr>
      <w:r w:rsidRPr="008470CB">
        <w:rPr>
          <w:lang w:val="en-US"/>
        </w:rPr>
        <w:lastRenderedPageBreak/>
        <w:t>This structured review highlights the evolving landscape of genetic testing, underscoring the importance of methodological selection based on clinical context and technological advancements.</w:t>
      </w:r>
    </w:p>
    <w:p w:rsidR="008470CB" w:rsidRDefault="008470CB" w:rsidP="008470CB">
      <w:pPr>
        <w:rPr>
          <w:lang w:val="en-US"/>
        </w:rPr>
      </w:pPr>
    </w:p>
    <w:p w:rsidR="008470CB" w:rsidRPr="008470CB" w:rsidRDefault="008470CB" w:rsidP="008470CB">
      <w:pPr>
        <w:shd w:val="clear" w:color="auto" w:fill="FFFFFF"/>
        <w:spacing w:before="100" w:beforeAutospacing="1" w:after="100" w:afterAutospacing="1" w:line="240" w:lineRule="auto"/>
        <w:outlineLvl w:val="2"/>
        <w:rPr>
          <w:rFonts w:ascii="Segoe UI" w:eastAsia="Times New Roman" w:hAnsi="Segoe UI" w:cs="Segoe UI"/>
          <w:b/>
          <w:bCs/>
          <w:color w:val="404040"/>
          <w:sz w:val="27"/>
          <w:szCs w:val="27"/>
          <w:lang w:val="en-US" w:eastAsia="ru-RU"/>
        </w:rPr>
      </w:pPr>
      <w:r w:rsidRPr="008470CB">
        <w:rPr>
          <w:rFonts w:ascii="Segoe UI" w:eastAsia="Times New Roman" w:hAnsi="Segoe UI" w:cs="Segoe UI"/>
          <w:b/>
          <w:bCs/>
          <w:color w:val="404040"/>
          <w:sz w:val="27"/>
          <w:szCs w:val="27"/>
          <w:lang w:val="en-US" w:eastAsia="ru-RU"/>
        </w:rPr>
        <w:t>Table 1: Comparison of Genetic Testing Methodologies in Neurology</w:t>
      </w:r>
    </w:p>
    <w:p w:rsidR="008470CB" w:rsidRPr="008470CB" w:rsidRDefault="008470CB" w:rsidP="008470CB">
      <w:pPr>
        <w:shd w:val="clear" w:color="auto" w:fill="FFFFFF"/>
        <w:spacing w:before="100" w:beforeAutospacing="1" w:after="100" w:afterAutospacing="1" w:line="240" w:lineRule="auto"/>
        <w:rPr>
          <w:rFonts w:ascii="Segoe UI" w:eastAsia="Times New Roman" w:hAnsi="Segoe UI" w:cs="Segoe UI"/>
          <w:color w:val="404040"/>
          <w:sz w:val="24"/>
          <w:szCs w:val="24"/>
          <w:lang w:val="en-US" w:eastAsia="ru-RU"/>
        </w:rPr>
      </w:pPr>
      <w:r w:rsidRPr="008470CB">
        <w:rPr>
          <w:rFonts w:ascii="Segoe UI" w:eastAsia="Times New Roman" w:hAnsi="Segoe UI" w:cs="Segoe UI"/>
          <w:i/>
          <w:iCs/>
          <w:color w:val="404040"/>
          <w:sz w:val="24"/>
          <w:szCs w:val="24"/>
          <w:lang w:val="en-US" w:eastAsia="ru-RU"/>
        </w:rPr>
        <w:t>(Key metrics: Resolution, Cost, Turnaround Time, Strengths, Limitations)</w:t>
      </w:r>
    </w:p>
    <w:tbl>
      <w:tblPr>
        <w:tblW w:w="0" w:type="auto"/>
        <w:tblCellMar>
          <w:top w:w="15" w:type="dxa"/>
          <w:left w:w="15" w:type="dxa"/>
          <w:bottom w:w="15" w:type="dxa"/>
          <w:right w:w="15" w:type="dxa"/>
        </w:tblCellMar>
        <w:tblLook w:val="04A0" w:firstRow="1" w:lastRow="0" w:firstColumn="1" w:lastColumn="0" w:noHBand="0" w:noVBand="1"/>
      </w:tblPr>
      <w:tblGrid>
        <w:gridCol w:w="956"/>
        <w:gridCol w:w="974"/>
        <w:gridCol w:w="867"/>
        <w:gridCol w:w="1090"/>
        <w:gridCol w:w="1977"/>
        <w:gridCol w:w="1303"/>
        <w:gridCol w:w="2338"/>
      </w:tblGrid>
      <w:tr w:rsidR="008470CB" w:rsidRPr="008470CB" w:rsidTr="008470CB">
        <w:trPr>
          <w:tblHeader/>
        </w:trPr>
        <w:tc>
          <w:tcPr>
            <w:tcW w:w="0" w:type="auto"/>
            <w:tcBorders>
              <w:top w:val="nil"/>
            </w:tcBorders>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b/>
                <w:bCs/>
                <w:sz w:val="23"/>
                <w:szCs w:val="23"/>
                <w:lang w:eastAsia="ru-RU"/>
              </w:rPr>
            </w:pPr>
            <w:proofErr w:type="spellStart"/>
            <w:r w:rsidRPr="008470CB">
              <w:rPr>
                <w:rFonts w:ascii="Times New Roman" w:eastAsia="Times New Roman" w:hAnsi="Times New Roman" w:cs="Times New Roman"/>
                <w:b/>
                <w:bCs/>
                <w:sz w:val="23"/>
                <w:szCs w:val="23"/>
                <w:lang w:eastAsia="ru-RU"/>
              </w:rPr>
              <w:t>Method</w:t>
            </w:r>
            <w:proofErr w:type="spellEnd"/>
          </w:p>
        </w:tc>
        <w:tc>
          <w:tcPr>
            <w:tcW w:w="0" w:type="auto"/>
            <w:tcBorders>
              <w:top w:val="nil"/>
            </w:tcBorders>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b/>
                <w:bCs/>
                <w:sz w:val="23"/>
                <w:szCs w:val="23"/>
                <w:lang w:eastAsia="ru-RU"/>
              </w:rPr>
            </w:pPr>
            <w:proofErr w:type="spellStart"/>
            <w:r w:rsidRPr="008470CB">
              <w:rPr>
                <w:rFonts w:ascii="Times New Roman" w:eastAsia="Times New Roman" w:hAnsi="Times New Roman" w:cs="Times New Roman"/>
                <w:b/>
                <w:bCs/>
                <w:sz w:val="23"/>
                <w:szCs w:val="23"/>
                <w:lang w:eastAsia="ru-RU"/>
              </w:rPr>
              <w:t>Resolution</w:t>
            </w:r>
            <w:proofErr w:type="spellEnd"/>
          </w:p>
        </w:tc>
        <w:tc>
          <w:tcPr>
            <w:tcW w:w="0" w:type="auto"/>
            <w:tcBorders>
              <w:top w:val="nil"/>
            </w:tcBorders>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b/>
                <w:bCs/>
                <w:sz w:val="23"/>
                <w:szCs w:val="23"/>
                <w:lang w:eastAsia="ru-RU"/>
              </w:rPr>
            </w:pPr>
            <w:proofErr w:type="spellStart"/>
            <w:r w:rsidRPr="008470CB">
              <w:rPr>
                <w:rFonts w:ascii="Times New Roman" w:eastAsia="Times New Roman" w:hAnsi="Times New Roman" w:cs="Times New Roman"/>
                <w:b/>
                <w:bCs/>
                <w:sz w:val="23"/>
                <w:szCs w:val="23"/>
                <w:lang w:eastAsia="ru-RU"/>
              </w:rPr>
              <w:t>Cost</w:t>
            </w:r>
            <w:proofErr w:type="spellEnd"/>
          </w:p>
        </w:tc>
        <w:tc>
          <w:tcPr>
            <w:tcW w:w="0" w:type="auto"/>
            <w:tcBorders>
              <w:top w:val="nil"/>
            </w:tcBorders>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b/>
                <w:bCs/>
                <w:sz w:val="23"/>
                <w:szCs w:val="23"/>
                <w:lang w:eastAsia="ru-RU"/>
              </w:rPr>
            </w:pPr>
            <w:proofErr w:type="spellStart"/>
            <w:r w:rsidRPr="008470CB">
              <w:rPr>
                <w:rFonts w:ascii="Times New Roman" w:eastAsia="Times New Roman" w:hAnsi="Times New Roman" w:cs="Times New Roman"/>
                <w:b/>
                <w:bCs/>
                <w:sz w:val="23"/>
                <w:szCs w:val="23"/>
                <w:lang w:eastAsia="ru-RU"/>
              </w:rPr>
              <w:t>Turnaround</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Time</w:t>
            </w:r>
            <w:proofErr w:type="spellEnd"/>
          </w:p>
        </w:tc>
        <w:tc>
          <w:tcPr>
            <w:tcW w:w="0" w:type="auto"/>
            <w:tcBorders>
              <w:top w:val="nil"/>
            </w:tcBorders>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b/>
                <w:bCs/>
                <w:sz w:val="23"/>
                <w:szCs w:val="23"/>
                <w:lang w:eastAsia="ru-RU"/>
              </w:rPr>
            </w:pPr>
            <w:proofErr w:type="spellStart"/>
            <w:r w:rsidRPr="008470CB">
              <w:rPr>
                <w:rFonts w:ascii="Times New Roman" w:eastAsia="Times New Roman" w:hAnsi="Times New Roman" w:cs="Times New Roman"/>
                <w:b/>
                <w:bCs/>
                <w:sz w:val="23"/>
                <w:szCs w:val="23"/>
                <w:lang w:eastAsia="ru-RU"/>
              </w:rPr>
              <w:t>Key</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Strengths</w:t>
            </w:r>
            <w:proofErr w:type="spellEnd"/>
          </w:p>
        </w:tc>
        <w:tc>
          <w:tcPr>
            <w:tcW w:w="0" w:type="auto"/>
            <w:tcBorders>
              <w:top w:val="nil"/>
            </w:tcBorders>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b/>
                <w:bCs/>
                <w:sz w:val="23"/>
                <w:szCs w:val="23"/>
                <w:lang w:eastAsia="ru-RU"/>
              </w:rPr>
            </w:pPr>
            <w:proofErr w:type="spellStart"/>
            <w:r w:rsidRPr="008470CB">
              <w:rPr>
                <w:rFonts w:ascii="Times New Roman" w:eastAsia="Times New Roman" w:hAnsi="Times New Roman" w:cs="Times New Roman"/>
                <w:b/>
                <w:bCs/>
                <w:sz w:val="23"/>
                <w:szCs w:val="23"/>
                <w:lang w:eastAsia="ru-RU"/>
              </w:rPr>
              <w:t>Major</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Limitations</w:t>
            </w:r>
            <w:proofErr w:type="spellEnd"/>
          </w:p>
        </w:tc>
        <w:tc>
          <w:tcPr>
            <w:tcW w:w="0" w:type="auto"/>
            <w:tcBorders>
              <w:top w:val="nil"/>
            </w:tcBorders>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b/>
                <w:bCs/>
                <w:sz w:val="23"/>
                <w:szCs w:val="23"/>
                <w:lang w:eastAsia="ru-RU"/>
              </w:rPr>
            </w:pPr>
            <w:proofErr w:type="spellStart"/>
            <w:r w:rsidRPr="008470CB">
              <w:rPr>
                <w:rFonts w:ascii="Times New Roman" w:eastAsia="Times New Roman" w:hAnsi="Times New Roman" w:cs="Times New Roman"/>
                <w:b/>
                <w:bCs/>
                <w:sz w:val="23"/>
                <w:szCs w:val="23"/>
                <w:lang w:eastAsia="ru-RU"/>
              </w:rPr>
              <w:t>Example</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Use</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Cases</w:t>
            </w:r>
            <w:proofErr w:type="spellEnd"/>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b/>
                <w:bCs/>
                <w:sz w:val="23"/>
                <w:szCs w:val="23"/>
                <w:lang w:eastAsia="ru-RU"/>
              </w:rPr>
              <w:t>Karyotyping</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5–10 </w:t>
            </w:r>
            <w:proofErr w:type="spellStart"/>
            <w:r w:rsidRPr="008470CB">
              <w:rPr>
                <w:rFonts w:ascii="Times New Roman" w:eastAsia="Times New Roman" w:hAnsi="Times New Roman" w:cs="Times New Roman"/>
                <w:sz w:val="23"/>
                <w:szCs w:val="23"/>
                <w:lang w:eastAsia="ru-RU"/>
              </w:rPr>
              <w:t>Mb</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Low</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7–14 </w:t>
            </w:r>
            <w:proofErr w:type="spellStart"/>
            <w:r w:rsidRPr="008470CB">
              <w:rPr>
                <w:rFonts w:ascii="Times New Roman" w:eastAsia="Times New Roman" w:hAnsi="Times New Roman" w:cs="Times New Roman"/>
                <w:sz w:val="23"/>
                <w:szCs w:val="23"/>
                <w:lang w:eastAsia="ru-RU"/>
              </w:rPr>
              <w:t>days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Detects</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large</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structural</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variants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Very</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low</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resolution</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Aneuploidy</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large</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translocations</w:t>
            </w:r>
            <w:proofErr w:type="spellEnd"/>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b/>
                <w:bCs/>
                <w:sz w:val="23"/>
                <w:szCs w:val="23"/>
                <w:lang w:eastAsia="ru-RU"/>
              </w:rPr>
              <w:t>FISH</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50–500 </w:t>
            </w:r>
            <w:proofErr w:type="spellStart"/>
            <w:r w:rsidRPr="008470CB">
              <w:rPr>
                <w:rFonts w:ascii="Times New Roman" w:eastAsia="Times New Roman" w:hAnsi="Times New Roman" w:cs="Times New Roman"/>
                <w:sz w:val="23"/>
                <w:szCs w:val="23"/>
                <w:lang w:eastAsia="ru-RU"/>
              </w:rPr>
              <w:t>kb</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Low-Moderate</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3–7 </w:t>
            </w:r>
            <w:proofErr w:type="spellStart"/>
            <w:r w:rsidRPr="008470CB">
              <w:rPr>
                <w:rFonts w:ascii="Times New Roman" w:eastAsia="Times New Roman" w:hAnsi="Times New Roman" w:cs="Times New Roman"/>
                <w:sz w:val="23"/>
                <w:szCs w:val="23"/>
                <w:lang w:eastAsia="ru-RU"/>
              </w:rPr>
              <w:t>days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Locus-specific</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rapid</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Targeted</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single</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locus</w:t>
            </w:r>
            <w:proofErr w:type="spellEnd"/>
            <w:r w:rsidRPr="008470CB">
              <w:rPr>
                <w:rFonts w:ascii="Times New Roman" w:eastAsia="Times New Roman" w:hAnsi="Times New Roman" w:cs="Times New Roman"/>
                <w:sz w:val="23"/>
                <w:szCs w:val="23"/>
                <w:lang w:eastAsia="ru-RU"/>
              </w:rPr>
              <w:t>)</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22q11 </w:t>
            </w:r>
            <w:proofErr w:type="spellStart"/>
            <w:r w:rsidRPr="008470CB">
              <w:rPr>
                <w:rFonts w:ascii="Times New Roman" w:eastAsia="Times New Roman" w:hAnsi="Times New Roman" w:cs="Times New Roman"/>
                <w:sz w:val="23"/>
                <w:szCs w:val="23"/>
                <w:lang w:eastAsia="ru-RU"/>
              </w:rPr>
              <w:t>deletion</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DiGeorge</w:t>
            </w:r>
            <w:proofErr w:type="spellEnd"/>
            <w:r w:rsidRPr="008470CB">
              <w:rPr>
                <w:rFonts w:ascii="Times New Roman" w:eastAsia="Times New Roman" w:hAnsi="Times New Roman" w:cs="Times New Roman"/>
                <w:sz w:val="23"/>
                <w:szCs w:val="23"/>
                <w:lang w:eastAsia="ru-RU"/>
              </w:rPr>
              <w:t>)</w:t>
            </w:r>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b/>
                <w:bCs/>
                <w:sz w:val="23"/>
                <w:szCs w:val="23"/>
                <w:lang w:eastAsia="ru-RU"/>
              </w:rPr>
              <w:t>Sanger</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Sequencing</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1 </w:t>
            </w:r>
            <w:proofErr w:type="spellStart"/>
            <w:r w:rsidRPr="008470CB">
              <w:rPr>
                <w:rFonts w:ascii="Times New Roman" w:eastAsia="Times New Roman" w:hAnsi="Times New Roman" w:cs="Times New Roman"/>
                <w:sz w:val="23"/>
                <w:szCs w:val="23"/>
                <w:lang w:eastAsia="ru-RU"/>
              </w:rPr>
              <w:t>bp</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Low</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per</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gene</w:t>
            </w:r>
            <w:proofErr w:type="spellEnd"/>
            <w:r w:rsidRPr="008470CB">
              <w:rPr>
                <w:rFonts w:ascii="Times New Roman" w:eastAsia="Times New Roman" w:hAnsi="Times New Roman" w:cs="Times New Roman"/>
                <w:sz w:val="23"/>
                <w:szCs w:val="23"/>
                <w:lang w:eastAsia="ru-RU"/>
              </w:rPr>
              <w:t>)</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2–4 </w:t>
            </w:r>
            <w:proofErr w:type="spellStart"/>
            <w:r w:rsidRPr="008470CB">
              <w:rPr>
                <w:rFonts w:ascii="Times New Roman" w:eastAsia="Times New Roman" w:hAnsi="Times New Roman" w:cs="Times New Roman"/>
                <w:sz w:val="23"/>
                <w:szCs w:val="23"/>
                <w:lang w:eastAsia="ru-RU"/>
              </w:rPr>
              <w:t>weeks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Gold</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standard</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for</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SNVs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val="en-US" w:eastAsia="ru-RU"/>
              </w:rPr>
            </w:pPr>
            <w:r w:rsidRPr="008470CB">
              <w:rPr>
                <w:rFonts w:ascii="Times New Roman" w:eastAsia="Times New Roman" w:hAnsi="Times New Roman" w:cs="Times New Roman"/>
                <w:sz w:val="23"/>
                <w:szCs w:val="23"/>
                <w:lang w:val="en-US" w:eastAsia="ru-RU"/>
              </w:rPr>
              <w:t>Low throughput; single-gene focus</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i/>
                <w:iCs/>
                <w:sz w:val="23"/>
                <w:szCs w:val="23"/>
                <w:lang w:eastAsia="ru-RU"/>
              </w:rPr>
              <w:t>SOD1</w:t>
            </w:r>
            <w:r w:rsidRPr="008470CB">
              <w:rPr>
                <w:rFonts w:ascii="Times New Roman" w:eastAsia="Times New Roman" w:hAnsi="Times New Roman" w:cs="Times New Roman"/>
                <w:sz w:val="23"/>
                <w:szCs w:val="23"/>
                <w:lang w:eastAsia="ru-RU"/>
              </w:rPr>
              <w:t> (ALS), </w:t>
            </w:r>
            <w:r w:rsidRPr="008470CB">
              <w:rPr>
                <w:rFonts w:ascii="Times New Roman" w:eastAsia="Times New Roman" w:hAnsi="Times New Roman" w:cs="Times New Roman"/>
                <w:i/>
                <w:iCs/>
                <w:sz w:val="23"/>
                <w:szCs w:val="23"/>
                <w:lang w:eastAsia="ru-RU"/>
              </w:rPr>
              <w:t>HTT</w:t>
            </w:r>
            <w:r w:rsidRPr="008470CB">
              <w:rPr>
                <w:rFonts w:ascii="Times New Roman" w:eastAsia="Times New Roman" w:hAnsi="Times New Roman" w:cs="Times New Roman"/>
                <w:sz w:val="23"/>
                <w:szCs w:val="23"/>
                <w:lang w:eastAsia="ru-RU"/>
              </w:rPr>
              <w:t> (</w:t>
            </w:r>
            <w:proofErr w:type="spellStart"/>
            <w:r w:rsidRPr="008470CB">
              <w:rPr>
                <w:rFonts w:ascii="Times New Roman" w:eastAsia="Times New Roman" w:hAnsi="Times New Roman" w:cs="Times New Roman"/>
                <w:sz w:val="23"/>
                <w:szCs w:val="23"/>
                <w:lang w:eastAsia="ru-RU"/>
              </w:rPr>
              <w:t>Huntington’s</w:t>
            </w:r>
            <w:proofErr w:type="spellEnd"/>
            <w:r w:rsidRPr="008470CB">
              <w:rPr>
                <w:rFonts w:ascii="Times New Roman" w:eastAsia="Times New Roman" w:hAnsi="Times New Roman" w:cs="Times New Roman"/>
                <w:sz w:val="23"/>
                <w:szCs w:val="23"/>
                <w:lang w:eastAsia="ru-RU"/>
              </w:rPr>
              <w:t>)</w:t>
            </w:r>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b/>
                <w:bCs/>
                <w:sz w:val="23"/>
                <w:szCs w:val="23"/>
                <w:lang w:eastAsia="ru-RU"/>
              </w:rPr>
              <w:t>MLPA</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Exon-level</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Moderate</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1–2 </w:t>
            </w:r>
            <w:proofErr w:type="spellStart"/>
            <w:r w:rsidRPr="008470CB">
              <w:rPr>
                <w:rFonts w:ascii="Times New Roman" w:eastAsia="Times New Roman" w:hAnsi="Times New Roman" w:cs="Times New Roman"/>
                <w:sz w:val="23"/>
                <w:szCs w:val="23"/>
                <w:lang w:eastAsia="ru-RU"/>
              </w:rPr>
              <w:t>weeks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Detects</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exon</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deletions</w:t>
            </w:r>
            <w:proofErr w:type="spellEnd"/>
            <w:r w:rsidRPr="008470CB">
              <w:rPr>
                <w:rFonts w:ascii="Times New Roman" w:eastAsia="Times New Roman" w:hAnsi="Times New Roman" w:cs="Times New Roman"/>
                <w:sz w:val="23"/>
                <w:szCs w:val="23"/>
                <w:lang w:eastAsia="ru-RU"/>
              </w:rPr>
              <w:t>/</w:t>
            </w:r>
            <w:proofErr w:type="spellStart"/>
            <w:r w:rsidRPr="008470CB">
              <w:rPr>
                <w:rFonts w:ascii="Times New Roman" w:eastAsia="Times New Roman" w:hAnsi="Times New Roman" w:cs="Times New Roman"/>
                <w:sz w:val="23"/>
                <w:szCs w:val="23"/>
                <w:lang w:eastAsia="ru-RU"/>
              </w:rPr>
              <w:t>duplications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Gene-specific</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design</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required</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i/>
                <w:iCs/>
                <w:sz w:val="23"/>
                <w:szCs w:val="23"/>
                <w:lang w:eastAsia="ru-RU"/>
              </w:rPr>
              <w:t>DMD</w:t>
            </w:r>
            <w:r w:rsidRPr="008470CB">
              <w:rPr>
                <w:rFonts w:ascii="Times New Roman" w:eastAsia="Times New Roman" w:hAnsi="Times New Roman" w:cs="Times New Roman"/>
                <w:sz w:val="23"/>
                <w:szCs w:val="23"/>
                <w:lang w:eastAsia="ru-RU"/>
              </w:rPr>
              <w:t> (</w:t>
            </w:r>
            <w:proofErr w:type="spellStart"/>
            <w:r w:rsidRPr="008470CB">
              <w:rPr>
                <w:rFonts w:ascii="Times New Roman" w:eastAsia="Times New Roman" w:hAnsi="Times New Roman" w:cs="Times New Roman"/>
                <w:sz w:val="23"/>
                <w:szCs w:val="23"/>
                <w:lang w:eastAsia="ru-RU"/>
              </w:rPr>
              <w:t>muscular</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dystrophy</w:t>
            </w:r>
            <w:proofErr w:type="spellEnd"/>
            <w:r w:rsidRPr="008470CB">
              <w:rPr>
                <w:rFonts w:ascii="Times New Roman" w:eastAsia="Times New Roman" w:hAnsi="Times New Roman" w:cs="Times New Roman"/>
                <w:sz w:val="23"/>
                <w:szCs w:val="23"/>
                <w:lang w:eastAsia="ru-RU"/>
              </w:rPr>
              <w:t>)</w:t>
            </w:r>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b/>
                <w:bCs/>
                <w:sz w:val="23"/>
                <w:szCs w:val="23"/>
                <w:lang w:eastAsia="ru-RU"/>
              </w:rPr>
              <w:t>aCGH</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50–100 </w:t>
            </w:r>
            <w:proofErr w:type="spellStart"/>
            <w:r w:rsidRPr="008470CB">
              <w:rPr>
                <w:rFonts w:ascii="Times New Roman" w:eastAsia="Times New Roman" w:hAnsi="Times New Roman" w:cs="Times New Roman"/>
                <w:sz w:val="23"/>
                <w:szCs w:val="23"/>
                <w:lang w:eastAsia="ru-RU"/>
              </w:rPr>
              <w:t>kb</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Moderate</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2–4 </w:t>
            </w:r>
            <w:proofErr w:type="spellStart"/>
            <w:r w:rsidRPr="008470CB">
              <w:rPr>
                <w:rFonts w:ascii="Times New Roman" w:eastAsia="Times New Roman" w:hAnsi="Times New Roman" w:cs="Times New Roman"/>
                <w:sz w:val="23"/>
                <w:szCs w:val="23"/>
                <w:lang w:eastAsia="ru-RU"/>
              </w:rPr>
              <w:t>weeks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Genome-wide</w:t>
            </w:r>
            <w:proofErr w:type="spellEnd"/>
            <w:r w:rsidRPr="008470CB">
              <w:rPr>
                <w:rFonts w:ascii="Times New Roman" w:eastAsia="Times New Roman" w:hAnsi="Times New Roman" w:cs="Times New Roman"/>
                <w:sz w:val="23"/>
                <w:szCs w:val="23"/>
                <w:lang w:eastAsia="ru-RU"/>
              </w:rPr>
              <w:t xml:space="preserve"> CNV </w:t>
            </w:r>
            <w:proofErr w:type="spellStart"/>
            <w:r w:rsidRPr="008470CB">
              <w:rPr>
                <w:rFonts w:ascii="Times New Roman" w:eastAsia="Times New Roman" w:hAnsi="Times New Roman" w:cs="Times New Roman"/>
                <w:sz w:val="23"/>
                <w:szCs w:val="23"/>
                <w:lang w:eastAsia="ru-RU"/>
              </w:rPr>
              <w:t>detection</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Misses</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balanced</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rearrangements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val="en-US" w:eastAsia="ru-RU"/>
              </w:rPr>
            </w:pPr>
            <w:r w:rsidRPr="008470CB">
              <w:rPr>
                <w:rFonts w:ascii="Times New Roman" w:eastAsia="Times New Roman" w:hAnsi="Times New Roman" w:cs="Times New Roman"/>
                <w:sz w:val="23"/>
                <w:szCs w:val="23"/>
                <w:lang w:val="en-US" w:eastAsia="ru-RU"/>
              </w:rPr>
              <w:t>Autism, ID (e.g., 16p11.2 del)</w:t>
            </w:r>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b/>
                <w:bCs/>
                <w:sz w:val="23"/>
                <w:szCs w:val="23"/>
                <w:lang w:eastAsia="ru-RU"/>
              </w:rPr>
              <w:t>Targeted</w:t>
            </w:r>
            <w:proofErr w:type="spellEnd"/>
            <w:r w:rsidRPr="008470CB">
              <w:rPr>
                <w:rFonts w:ascii="Times New Roman" w:eastAsia="Times New Roman" w:hAnsi="Times New Roman" w:cs="Times New Roman"/>
                <w:b/>
                <w:bCs/>
                <w:sz w:val="23"/>
                <w:szCs w:val="23"/>
                <w:lang w:eastAsia="ru-RU"/>
              </w:rPr>
              <w:t xml:space="preserve"> NGS </w:t>
            </w:r>
            <w:proofErr w:type="spellStart"/>
            <w:r w:rsidRPr="008470CB">
              <w:rPr>
                <w:rFonts w:ascii="Times New Roman" w:eastAsia="Times New Roman" w:hAnsi="Times New Roman" w:cs="Times New Roman"/>
                <w:b/>
                <w:bCs/>
                <w:sz w:val="23"/>
                <w:szCs w:val="23"/>
                <w:lang w:eastAsia="ru-RU"/>
              </w:rPr>
              <w:t>Panel</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1 </w:t>
            </w:r>
            <w:proofErr w:type="spellStart"/>
            <w:r w:rsidRPr="008470CB">
              <w:rPr>
                <w:rFonts w:ascii="Times New Roman" w:eastAsia="Times New Roman" w:hAnsi="Times New Roman" w:cs="Times New Roman"/>
                <w:sz w:val="23"/>
                <w:szCs w:val="23"/>
                <w:lang w:eastAsia="ru-RU"/>
              </w:rPr>
              <w:t>bp</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exonic</w:t>
            </w:r>
            <w:proofErr w:type="spellEnd"/>
            <w:r w:rsidRPr="008470CB">
              <w:rPr>
                <w:rFonts w:ascii="Times New Roman" w:eastAsia="Times New Roman" w:hAnsi="Times New Roman" w:cs="Times New Roman"/>
                <w:sz w:val="23"/>
                <w:szCs w:val="23"/>
                <w:lang w:eastAsia="ru-RU"/>
              </w:rPr>
              <w:t>)</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Moderate</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4–8 </w:t>
            </w:r>
            <w:proofErr w:type="spellStart"/>
            <w:r w:rsidRPr="008470CB">
              <w:rPr>
                <w:rFonts w:ascii="Times New Roman" w:eastAsia="Times New Roman" w:hAnsi="Times New Roman" w:cs="Times New Roman"/>
                <w:sz w:val="23"/>
                <w:szCs w:val="23"/>
                <w:lang w:eastAsia="ru-RU"/>
              </w:rPr>
              <w:t>weeks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Phenotype-focused</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high</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coverage</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Limited</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to</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panel</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genes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Epilepsy</w:t>
            </w:r>
            <w:proofErr w:type="spellEnd"/>
            <w:r w:rsidRPr="008470CB">
              <w:rPr>
                <w:rFonts w:ascii="Times New Roman" w:eastAsia="Times New Roman" w:hAnsi="Times New Roman" w:cs="Times New Roman"/>
                <w:sz w:val="23"/>
                <w:szCs w:val="23"/>
                <w:lang w:eastAsia="ru-RU"/>
              </w:rPr>
              <w:t xml:space="preserve"> (</w:t>
            </w:r>
            <w:r w:rsidRPr="008470CB">
              <w:rPr>
                <w:rFonts w:ascii="Times New Roman" w:eastAsia="Times New Roman" w:hAnsi="Times New Roman" w:cs="Times New Roman"/>
                <w:i/>
                <w:iCs/>
                <w:sz w:val="23"/>
                <w:szCs w:val="23"/>
                <w:lang w:eastAsia="ru-RU"/>
              </w:rPr>
              <w:t>SCN1A</w:t>
            </w:r>
            <w:r w:rsidRPr="008470CB">
              <w:rPr>
                <w:rFonts w:ascii="Times New Roman" w:eastAsia="Times New Roman" w:hAnsi="Times New Roman" w:cs="Times New Roman"/>
                <w:sz w:val="23"/>
                <w:szCs w:val="23"/>
                <w:lang w:eastAsia="ru-RU"/>
              </w:rPr>
              <w:t>, </w:t>
            </w:r>
            <w:r w:rsidRPr="008470CB">
              <w:rPr>
                <w:rFonts w:ascii="Times New Roman" w:eastAsia="Times New Roman" w:hAnsi="Times New Roman" w:cs="Times New Roman"/>
                <w:i/>
                <w:iCs/>
                <w:sz w:val="23"/>
                <w:szCs w:val="23"/>
                <w:lang w:eastAsia="ru-RU"/>
              </w:rPr>
              <w:t>KCNQ2</w:t>
            </w:r>
            <w:r w:rsidRPr="008470CB">
              <w:rPr>
                <w:rFonts w:ascii="Times New Roman" w:eastAsia="Times New Roman" w:hAnsi="Times New Roman" w:cs="Times New Roman"/>
                <w:sz w:val="23"/>
                <w:szCs w:val="23"/>
                <w:lang w:eastAsia="ru-RU"/>
              </w:rPr>
              <w:t>)</w:t>
            </w:r>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b/>
                <w:bCs/>
                <w:sz w:val="23"/>
                <w:szCs w:val="23"/>
                <w:lang w:eastAsia="ru-RU"/>
              </w:rPr>
              <w:t>Whole</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Exome</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Seq</w:t>
            </w:r>
            <w:proofErr w:type="spellEnd"/>
            <w:r w:rsidRPr="008470CB">
              <w:rPr>
                <w:rFonts w:ascii="Times New Roman" w:eastAsia="Times New Roman" w:hAnsi="Times New Roman" w:cs="Times New Roman"/>
                <w:b/>
                <w:bCs/>
                <w:sz w:val="23"/>
                <w:szCs w:val="23"/>
                <w:lang w:eastAsia="ru-RU"/>
              </w:rPr>
              <w:t xml:space="preserve"> (WES)</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1 </w:t>
            </w:r>
            <w:proofErr w:type="spellStart"/>
            <w:r w:rsidRPr="008470CB">
              <w:rPr>
                <w:rFonts w:ascii="Times New Roman" w:eastAsia="Times New Roman" w:hAnsi="Times New Roman" w:cs="Times New Roman"/>
                <w:sz w:val="23"/>
                <w:szCs w:val="23"/>
                <w:lang w:eastAsia="ru-RU"/>
              </w:rPr>
              <w:t>bp</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exonic</w:t>
            </w:r>
            <w:proofErr w:type="spellEnd"/>
            <w:r w:rsidRPr="008470CB">
              <w:rPr>
                <w:rFonts w:ascii="Times New Roman" w:eastAsia="Times New Roman" w:hAnsi="Times New Roman" w:cs="Times New Roman"/>
                <w:sz w:val="23"/>
                <w:szCs w:val="23"/>
                <w:lang w:eastAsia="ru-RU"/>
              </w:rPr>
              <w:t>)</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High</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8–16 </w:t>
            </w:r>
            <w:proofErr w:type="spellStart"/>
            <w:r w:rsidRPr="008470CB">
              <w:rPr>
                <w:rFonts w:ascii="Times New Roman" w:eastAsia="Times New Roman" w:hAnsi="Times New Roman" w:cs="Times New Roman"/>
                <w:sz w:val="23"/>
                <w:szCs w:val="23"/>
                <w:lang w:eastAsia="ru-RU"/>
              </w:rPr>
              <w:t>weeks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Unbiased</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exome</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screen</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val="en-US" w:eastAsia="ru-RU"/>
              </w:rPr>
            </w:pPr>
            <w:r w:rsidRPr="008470CB">
              <w:rPr>
                <w:rFonts w:ascii="Times New Roman" w:eastAsia="Times New Roman" w:hAnsi="Times New Roman" w:cs="Times New Roman"/>
                <w:sz w:val="23"/>
                <w:szCs w:val="23"/>
                <w:lang w:val="en-US" w:eastAsia="ru-RU"/>
              </w:rPr>
              <w:t>Misses non-coding/structural variants</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Undiagnosed</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leukodystrophies</w:t>
            </w:r>
            <w:proofErr w:type="spellEnd"/>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b/>
                <w:bCs/>
                <w:sz w:val="23"/>
                <w:szCs w:val="23"/>
                <w:lang w:eastAsia="ru-RU"/>
              </w:rPr>
              <w:t>Whole</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Genome</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Seq</w:t>
            </w:r>
            <w:proofErr w:type="spellEnd"/>
            <w:r w:rsidRPr="008470CB">
              <w:rPr>
                <w:rFonts w:ascii="Times New Roman" w:eastAsia="Times New Roman" w:hAnsi="Times New Roman" w:cs="Times New Roman"/>
                <w:b/>
                <w:bCs/>
                <w:sz w:val="23"/>
                <w:szCs w:val="23"/>
                <w:lang w:eastAsia="ru-RU"/>
              </w:rPr>
              <w:t xml:space="preserve"> (WGS)</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1 </w:t>
            </w:r>
            <w:proofErr w:type="spellStart"/>
            <w:r w:rsidRPr="008470CB">
              <w:rPr>
                <w:rFonts w:ascii="Times New Roman" w:eastAsia="Times New Roman" w:hAnsi="Times New Roman" w:cs="Times New Roman"/>
                <w:sz w:val="23"/>
                <w:szCs w:val="23"/>
                <w:lang w:eastAsia="ru-RU"/>
              </w:rPr>
              <w:t>bp</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whole</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genome</w:t>
            </w:r>
            <w:proofErr w:type="spellEnd"/>
            <w:r w:rsidRPr="008470CB">
              <w:rPr>
                <w:rFonts w:ascii="Times New Roman" w:eastAsia="Times New Roman" w:hAnsi="Times New Roman" w:cs="Times New Roman"/>
                <w:sz w:val="23"/>
                <w:szCs w:val="23"/>
                <w:lang w:eastAsia="ru-RU"/>
              </w:rPr>
              <w:t>)</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Very</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High</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t xml:space="preserve">12–20 </w:t>
            </w:r>
            <w:proofErr w:type="spellStart"/>
            <w:r w:rsidRPr="008470CB">
              <w:rPr>
                <w:rFonts w:ascii="Times New Roman" w:eastAsia="Times New Roman" w:hAnsi="Times New Roman" w:cs="Times New Roman"/>
                <w:sz w:val="23"/>
                <w:szCs w:val="23"/>
                <w:lang w:eastAsia="ru-RU"/>
              </w:rPr>
              <w:t>weeks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val="en-US" w:eastAsia="ru-RU"/>
              </w:rPr>
            </w:pPr>
            <w:r w:rsidRPr="008470CB">
              <w:rPr>
                <w:rFonts w:ascii="Times New Roman" w:eastAsia="Times New Roman" w:hAnsi="Times New Roman" w:cs="Times New Roman"/>
                <w:sz w:val="23"/>
                <w:szCs w:val="23"/>
                <w:lang w:val="en-US" w:eastAsia="ru-RU"/>
              </w:rPr>
              <w:t>Detects SNVs/CNVs/structural/non-coding</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High</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cost</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data</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overload</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t>Complex</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neurodevelopmental</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disorders</w:t>
            </w:r>
            <w:proofErr w:type="spellEnd"/>
          </w:p>
        </w:tc>
      </w:tr>
      <w:tr w:rsidR="008470CB" w:rsidRPr="008470CB" w:rsidTr="008470CB">
        <w:tc>
          <w:tcPr>
            <w:tcW w:w="0" w:type="auto"/>
            <w:tcMar>
              <w:top w:w="150" w:type="dxa"/>
              <w:left w:w="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b/>
                <w:bCs/>
                <w:sz w:val="23"/>
                <w:szCs w:val="23"/>
                <w:lang w:eastAsia="ru-RU"/>
              </w:rPr>
              <w:t>Long-</w:t>
            </w:r>
            <w:r w:rsidRPr="008470CB">
              <w:rPr>
                <w:rFonts w:ascii="Times New Roman" w:eastAsia="Times New Roman" w:hAnsi="Times New Roman" w:cs="Times New Roman"/>
                <w:b/>
                <w:bCs/>
                <w:sz w:val="23"/>
                <w:szCs w:val="23"/>
                <w:lang w:eastAsia="ru-RU"/>
              </w:rPr>
              <w:lastRenderedPageBreak/>
              <w:t>Read</w:t>
            </w:r>
            <w:proofErr w:type="spellEnd"/>
            <w:r w:rsidRPr="008470CB">
              <w:rPr>
                <w:rFonts w:ascii="Times New Roman" w:eastAsia="Times New Roman" w:hAnsi="Times New Roman" w:cs="Times New Roman"/>
                <w:b/>
                <w:bCs/>
                <w:sz w:val="23"/>
                <w:szCs w:val="23"/>
                <w:lang w:eastAsia="ru-RU"/>
              </w:rPr>
              <w:t xml:space="preserve"> </w:t>
            </w:r>
            <w:proofErr w:type="spellStart"/>
            <w:r w:rsidRPr="008470CB">
              <w:rPr>
                <w:rFonts w:ascii="Times New Roman" w:eastAsia="Times New Roman" w:hAnsi="Times New Roman" w:cs="Times New Roman"/>
                <w:b/>
                <w:bCs/>
                <w:sz w:val="23"/>
                <w:szCs w:val="23"/>
                <w:lang w:eastAsia="ru-RU"/>
              </w:rPr>
              <w:t>Sequencing</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lastRenderedPageBreak/>
              <w:t xml:space="preserve">1 </w:t>
            </w:r>
            <w:proofErr w:type="spellStart"/>
            <w:r w:rsidRPr="008470CB">
              <w:rPr>
                <w:rFonts w:ascii="Times New Roman" w:eastAsia="Times New Roman" w:hAnsi="Times New Roman" w:cs="Times New Roman"/>
                <w:sz w:val="23"/>
                <w:szCs w:val="23"/>
                <w:lang w:eastAsia="ru-RU"/>
              </w:rPr>
              <w:t>bp</w:t>
            </w:r>
            <w:proofErr w:type="spellEnd"/>
            <w:r w:rsidRPr="008470CB">
              <w:rPr>
                <w:rFonts w:ascii="Times New Roman" w:eastAsia="Times New Roman" w:hAnsi="Times New Roman" w:cs="Times New Roman"/>
                <w:sz w:val="23"/>
                <w:szCs w:val="23"/>
                <w:lang w:eastAsia="ru-RU"/>
              </w:rPr>
              <w:t xml:space="preserve"> </w:t>
            </w:r>
            <w:r w:rsidRPr="008470CB">
              <w:rPr>
                <w:rFonts w:ascii="Times New Roman" w:eastAsia="Times New Roman" w:hAnsi="Times New Roman" w:cs="Times New Roman"/>
                <w:sz w:val="23"/>
                <w:szCs w:val="23"/>
                <w:lang w:eastAsia="ru-RU"/>
              </w:rPr>
              <w:lastRenderedPageBreak/>
              <w:t>(</w:t>
            </w:r>
            <w:proofErr w:type="spellStart"/>
            <w:r w:rsidRPr="008470CB">
              <w:rPr>
                <w:rFonts w:ascii="Times New Roman" w:eastAsia="Times New Roman" w:hAnsi="Times New Roman" w:cs="Times New Roman"/>
                <w:sz w:val="23"/>
                <w:szCs w:val="23"/>
                <w:lang w:eastAsia="ru-RU"/>
              </w:rPr>
              <w:t>incl</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repeats</w:t>
            </w:r>
            <w:proofErr w:type="spellEnd"/>
            <w:r w:rsidRPr="008470CB">
              <w:rPr>
                <w:rFonts w:ascii="Times New Roman" w:eastAsia="Times New Roman" w:hAnsi="Times New Roman" w:cs="Times New Roman"/>
                <w:sz w:val="23"/>
                <w:szCs w:val="23"/>
                <w:lang w:eastAsia="ru-RU"/>
              </w:rPr>
              <w:t>)</w:t>
            </w:r>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lastRenderedPageBreak/>
              <w:t>Very</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lastRenderedPageBreak/>
              <w:t>High</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r w:rsidRPr="008470CB">
              <w:rPr>
                <w:rFonts w:ascii="Times New Roman" w:eastAsia="Times New Roman" w:hAnsi="Times New Roman" w:cs="Times New Roman"/>
                <w:sz w:val="23"/>
                <w:szCs w:val="23"/>
                <w:lang w:eastAsia="ru-RU"/>
              </w:rPr>
              <w:lastRenderedPageBreak/>
              <w:t xml:space="preserve">2–4 </w:t>
            </w:r>
            <w:proofErr w:type="spellStart"/>
            <w:r w:rsidRPr="008470CB">
              <w:rPr>
                <w:rFonts w:ascii="Times New Roman" w:eastAsia="Times New Roman" w:hAnsi="Times New Roman" w:cs="Times New Roman"/>
                <w:sz w:val="23"/>
                <w:szCs w:val="23"/>
                <w:lang w:eastAsia="ru-RU"/>
              </w:rPr>
              <w:lastRenderedPageBreak/>
              <w:t>weeks</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lastRenderedPageBreak/>
              <w:t>Solves</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repetitive</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lastRenderedPageBreak/>
              <w:t>regions</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phasing</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eastAsia="ru-RU"/>
              </w:rPr>
            </w:pPr>
            <w:proofErr w:type="spellStart"/>
            <w:r w:rsidRPr="008470CB">
              <w:rPr>
                <w:rFonts w:ascii="Times New Roman" w:eastAsia="Times New Roman" w:hAnsi="Times New Roman" w:cs="Times New Roman"/>
                <w:sz w:val="23"/>
                <w:szCs w:val="23"/>
                <w:lang w:eastAsia="ru-RU"/>
              </w:rPr>
              <w:lastRenderedPageBreak/>
              <w:t>Emerging</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lastRenderedPageBreak/>
              <w:t>high</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error</w:t>
            </w:r>
            <w:proofErr w:type="spellEnd"/>
            <w:r w:rsidRPr="008470CB">
              <w:rPr>
                <w:rFonts w:ascii="Times New Roman" w:eastAsia="Times New Roman" w:hAnsi="Times New Roman" w:cs="Times New Roman"/>
                <w:sz w:val="23"/>
                <w:szCs w:val="23"/>
                <w:lang w:eastAsia="ru-RU"/>
              </w:rPr>
              <w:t xml:space="preserve"> </w:t>
            </w:r>
            <w:proofErr w:type="spellStart"/>
            <w:r w:rsidRPr="008470CB">
              <w:rPr>
                <w:rFonts w:ascii="Times New Roman" w:eastAsia="Times New Roman" w:hAnsi="Times New Roman" w:cs="Times New Roman"/>
                <w:sz w:val="23"/>
                <w:szCs w:val="23"/>
                <w:lang w:eastAsia="ru-RU"/>
              </w:rPr>
              <w:t>rate</w:t>
            </w:r>
            <w:proofErr w:type="spellEnd"/>
          </w:p>
        </w:tc>
        <w:tc>
          <w:tcPr>
            <w:tcW w:w="0" w:type="auto"/>
            <w:tcMar>
              <w:top w:w="150" w:type="dxa"/>
              <w:left w:w="150" w:type="dxa"/>
              <w:bottom w:w="150" w:type="dxa"/>
              <w:right w:w="150" w:type="dxa"/>
            </w:tcMar>
            <w:vAlign w:val="center"/>
            <w:hideMark/>
          </w:tcPr>
          <w:p w:rsidR="008470CB" w:rsidRPr="008470CB" w:rsidRDefault="008470CB" w:rsidP="008470CB">
            <w:pPr>
              <w:spacing w:after="0" w:line="240" w:lineRule="auto"/>
              <w:rPr>
                <w:rFonts w:ascii="Times New Roman" w:eastAsia="Times New Roman" w:hAnsi="Times New Roman" w:cs="Times New Roman"/>
                <w:sz w:val="23"/>
                <w:szCs w:val="23"/>
                <w:lang w:val="en-US" w:eastAsia="ru-RU"/>
              </w:rPr>
            </w:pPr>
            <w:r w:rsidRPr="008470CB">
              <w:rPr>
                <w:rFonts w:ascii="Times New Roman" w:eastAsia="Times New Roman" w:hAnsi="Times New Roman" w:cs="Times New Roman"/>
                <w:i/>
                <w:iCs/>
                <w:sz w:val="23"/>
                <w:szCs w:val="23"/>
                <w:lang w:val="en-US" w:eastAsia="ru-RU"/>
              </w:rPr>
              <w:lastRenderedPageBreak/>
              <w:t>FMR1</w:t>
            </w:r>
            <w:r w:rsidRPr="008470CB">
              <w:rPr>
                <w:rFonts w:ascii="Times New Roman" w:eastAsia="Times New Roman" w:hAnsi="Times New Roman" w:cs="Times New Roman"/>
                <w:sz w:val="23"/>
                <w:szCs w:val="23"/>
                <w:lang w:val="en-US" w:eastAsia="ru-RU"/>
              </w:rPr>
              <w:t xml:space="preserve"> (Fragile </w:t>
            </w:r>
            <w:r w:rsidRPr="008470CB">
              <w:rPr>
                <w:rFonts w:ascii="Times New Roman" w:eastAsia="Times New Roman" w:hAnsi="Times New Roman" w:cs="Times New Roman"/>
                <w:sz w:val="23"/>
                <w:szCs w:val="23"/>
                <w:lang w:val="en-US" w:eastAsia="ru-RU"/>
              </w:rPr>
              <w:lastRenderedPageBreak/>
              <w:t>X), </w:t>
            </w:r>
            <w:r w:rsidRPr="008470CB">
              <w:rPr>
                <w:rFonts w:ascii="Times New Roman" w:eastAsia="Times New Roman" w:hAnsi="Times New Roman" w:cs="Times New Roman"/>
                <w:i/>
                <w:iCs/>
                <w:sz w:val="23"/>
                <w:szCs w:val="23"/>
                <w:lang w:val="en-US" w:eastAsia="ru-RU"/>
              </w:rPr>
              <w:t>ATXN1</w:t>
            </w:r>
            <w:r w:rsidRPr="008470CB">
              <w:rPr>
                <w:rFonts w:ascii="Times New Roman" w:eastAsia="Times New Roman" w:hAnsi="Times New Roman" w:cs="Times New Roman"/>
                <w:sz w:val="23"/>
                <w:szCs w:val="23"/>
                <w:lang w:val="en-US" w:eastAsia="ru-RU"/>
              </w:rPr>
              <w:t> (SCA1)</w:t>
            </w:r>
          </w:p>
        </w:tc>
      </w:tr>
    </w:tbl>
    <w:p w:rsidR="008470CB" w:rsidRPr="008470CB" w:rsidRDefault="008470CB" w:rsidP="008470CB">
      <w:pPr>
        <w:shd w:val="clear" w:color="auto" w:fill="FFFFFF"/>
        <w:spacing w:before="100" w:beforeAutospacing="1" w:after="100" w:afterAutospacing="1" w:line="240" w:lineRule="auto"/>
        <w:rPr>
          <w:rFonts w:ascii="Segoe UI" w:eastAsia="Times New Roman" w:hAnsi="Segoe UI" w:cs="Segoe UI"/>
          <w:color w:val="404040"/>
          <w:sz w:val="24"/>
          <w:szCs w:val="24"/>
          <w:lang w:eastAsia="ru-RU"/>
        </w:rPr>
      </w:pPr>
      <w:proofErr w:type="spellStart"/>
      <w:r w:rsidRPr="008470CB">
        <w:rPr>
          <w:rFonts w:ascii="Segoe UI" w:eastAsia="Times New Roman" w:hAnsi="Segoe UI" w:cs="Segoe UI"/>
          <w:b/>
          <w:bCs/>
          <w:color w:val="404040"/>
          <w:sz w:val="24"/>
          <w:szCs w:val="24"/>
          <w:lang w:eastAsia="ru-RU"/>
        </w:rPr>
        <w:lastRenderedPageBreak/>
        <w:t>Key</w:t>
      </w:r>
      <w:proofErr w:type="spellEnd"/>
      <w:r w:rsidRPr="008470CB">
        <w:rPr>
          <w:rFonts w:ascii="Segoe UI" w:eastAsia="Times New Roman" w:hAnsi="Segoe UI" w:cs="Segoe UI"/>
          <w:b/>
          <w:bCs/>
          <w:color w:val="404040"/>
          <w:sz w:val="24"/>
          <w:szCs w:val="24"/>
          <w:lang w:eastAsia="ru-RU"/>
        </w:rPr>
        <w:t xml:space="preserve"> </w:t>
      </w:r>
      <w:proofErr w:type="spellStart"/>
      <w:r w:rsidRPr="008470CB">
        <w:rPr>
          <w:rFonts w:ascii="Segoe UI" w:eastAsia="Times New Roman" w:hAnsi="Segoe UI" w:cs="Segoe UI"/>
          <w:b/>
          <w:bCs/>
          <w:color w:val="404040"/>
          <w:sz w:val="24"/>
          <w:szCs w:val="24"/>
          <w:lang w:eastAsia="ru-RU"/>
        </w:rPr>
        <w:t>Considerations</w:t>
      </w:r>
      <w:proofErr w:type="spellEnd"/>
      <w:r w:rsidRPr="008470CB">
        <w:rPr>
          <w:rFonts w:ascii="Segoe UI" w:eastAsia="Times New Roman" w:hAnsi="Segoe UI" w:cs="Segoe UI"/>
          <w:color w:val="404040"/>
          <w:sz w:val="24"/>
          <w:szCs w:val="24"/>
          <w:lang w:eastAsia="ru-RU"/>
        </w:rPr>
        <w:t>:</w:t>
      </w:r>
    </w:p>
    <w:p w:rsidR="008470CB" w:rsidRPr="008470CB" w:rsidRDefault="008470CB" w:rsidP="008470CB">
      <w:pPr>
        <w:numPr>
          <w:ilvl w:val="0"/>
          <w:numId w:val="11"/>
        </w:numPr>
        <w:shd w:val="clear" w:color="auto" w:fill="FFFFFF"/>
        <w:spacing w:after="100" w:afterAutospacing="1" w:line="240" w:lineRule="auto"/>
        <w:rPr>
          <w:rFonts w:ascii="Segoe UI" w:eastAsia="Times New Roman" w:hAnsi="Segoe UI" w:cs="Segoe UI"/>
          <w:color w:val="404040"/>
          <w:sz w:val="24"/>
          <w:szCs w:val="24"/>
          <w:lang w:val="en-US" w:eastAsia="ru-RU"/>
        </w:rPr>
      </w:pPr>
      <w:r w:rsidRPr="008470CB">
        <w:rPr>
          <w:rFonts w:ascii="Segoe UI" w:eastAsia="Times New Roman" w:hAnsi="Segoe UI" w:cs="Segoe UI"/>
          <w:b/>
          <w:bCs/>
          <w:color w:val="404040"/>
          <w:sz w:val="24"/>
          <w:szCs w:val="24"/>
          <w:lang w:val="en-US" w:eastAsia="ru-RU"/>
        </w:rPr>
        <w:t>Cost</w:t>
      </w:r>
      <w:r w:rsidRPr="008470CB">
        <w:rPr>
          <w:rFonts w:ascii="Segoe UI" w:eastAsia="Times New Roman" w:hAnsi="Segoe UI" w:cs="Segoe UI"/>
          <w:color w:val="404040"/>
          <w:sz w:val="24"/>
          <w:szCs w:val="24"/>
          <w:lang w:val="en-US" w:eastAsia="ru-RU"/>
        </w:rPr>
        <w:t>: Varies by region/lab; NGS costs decreasing.</w:t>
      </w:r>
    </w:p>
    <w:p w:rsidR="008470CB" w:rsidRPr="008470CB" w:rsidRDefault="008470CB" w:rsidP="008470CB">
      <w:pPr>
        <w:numPr>
          <w:ilvl w:val="0"/>
          <w:numId w:val="11"/>
        </w:numPr>
        <w:shd w:val="clear" w:color="auto" w:fill="FFFFFF"/>
        <w:spacing w:after="100" w:afterAutospacing="1" w:line="240" w:lineRule="auto"/>
        <w:rPr>
          <w:rFonts w:ascii="Segoe UI" w:eastAsia="Times New Roman" w:hAnsi="Segoe UI" w:cs="Segoe UI"/>
          <w:color w:val="404040"/>
          <w:sz w:val="24"/>
          <w:szCs w:val="24"/>
          <w:lang w:val="en-US" w:eastAsia="ru-RU"/>
        </w:rPr>
      </w:pPr>
      <w:r w:rsidRPr="008470CB">
        <w:rPr>
          <w:rFonts w:ascii="Segoe UI" w:eastAsia="Times New Roman" w:hAnsi="Segoe UI" w:cs="Segoe UI"/>
          <w:b/>
          <w:bCs/>
          <w:color w:val="404040"/>
          <w:sz w:val="24"/>
          <w:szCs w:val="24"/>
          <w:lang w:val="en-US" w:eastAsia="ru-RU"/>
        </w:rPr>
        <w:t>Turnaround Time</w:t>
      </w:r>
      <w:r w:rsidRPr="008470CB">
        <w:rPr>
          <w:rFonts w:ascii="Segoe UI" w:eastAsia="Times New Roman" w:hAnsi="Segoe UI" w:cs="Segoe UI"/>
          <w:color w:val="404040"/>
          <w:sz w:val="24"/>
          <w:szCs w:val="24"/>
          <w:lang w:val="en-US" w:eastAsia="ru-RU"/>
        </w:rPr>
        <w:t>: Includes analysis/validation.</w:t>
      </w:r>
    </w:p>
    <w:p w:rsidR="008470CB" w:rsidRPr="008470CB" w:rsidRDefault="008470CB" w:rsidP="008470CB">
      <w:pPr>
        <w:numPr>
          <w:ilvl w:val="0"/>
          <w:numId w:val="11"/>
        </w:numPr>
        <w:shd w:val="clear" w:color="auto" w:fill="FFFFFF"/>
        <w:spacing w:after="100" w:afterAutospacing="1" w:line="240" w:lineRule="auto"/>
        <w:rPr>
          <w:rFonts w:ascii="Segoe UI" w:eastAsia="Times New Roman" w:hAnsi="Segoe UI" w:cs="Segoe UI"/>
          <w:color w:val="404040"/>
          <w:sz w:val="24"/>
          <w:szCs w:val="24"/>
          <w:lang w:val="en-US" w:eastAsia="ru-RU"/>
        </w:rPr>
      </w:pPr>
      <w:r w:rsidRPr="008470CB">
        <w:rPr>
          <w:rFonts w:ascii="Segoe UI" w:eastAsia="Times New Roman" w:hAnsi="Segoe UI" w:cs="Segoe UI"/>
          <w:b/>
          <w:bCs/>
          <w:color w:val="404040"/>
          <w:sz w:val="24"/>
          <w:szCs w:val="24"/>
          <w:lang w:val="en-US" w:eastAsia="ru-RU"/>
        </w:rPr>
        <w:t>Test Choice</w:t>
      </w:r>
      <w:r w:rsidRPr="008470CB">
        <w:rPr>
          <w:rFonts w:ascii="Segoe UI" w:eastAsia="Times New Roman" w:hAnsi="Segoe UI" w:cs="Segoe UI"/>
          <w:color w:val="404040"/>
          <w:sz w:val="24"/>
          <w:szCs w:val="24"/>
          <w:lang w:val="en-US" w:eastAsia="ru-RU"/>
        </w:rPr>
        <w:t>: Driven by phenotype specificity, inheritance pattern, and resource availability.</w:t>
      </w:r>
    </w:p>
    <w:p w:rsidR="008470CB" w:rsidRPr="008470CB" w:rsidRDefault="008470CB" w:rsidP="008470CB">
      <w:pPr>
        <w:pStyle w:val="3"/>
        <w:shd w:val="clear" w:color="auto" w:fill="FFFFFF"/>
        <w:rPr>
          <w:rFonts w:ascii="Segoe UI" w:hAnsi="Segoe UI" w:cs="Segoe UI"/>
          <w:color w:val="404040"/>
          <w:lang w:val="en-US"/>
        </w:rPr>
      </w:pPr>
      <w:r w:rsidRPr="008470CB">
        <w:rPr>
          <w:rStyle w:val="a3"/>
          <w:rFonts w:ascii="Segoe UI" w:hAnsi="Segoe UI" w:cs="Segoe UI"/>
          <w:b/>
          <w:bCs/>
          <w:color w:val="404040"/>
          <w:lang w:val="en-US"/>
        </w:rPr>
        <w:t>Figure 1: Diagnostic Workflow for Genetic Neurological Disorders</w:t>
      </w:r>
    </w:p>
    <w:p w:rsidR="008470CB" w:rsidRDefault="008470CB" w:rsidP="008470CB">
      <w:pPr>
        <w:pStyle w:val="ds-markdown-paragraph"/>
        <w:shd w:val="clear" w:color="auto" w:fill="FFFFFF"/>
        <w:rPr>
          <w:rStyle w:val="a4"/>
          <w:rFonts w:ascii="Segoe UI" w:hAnsi="Segoe UI" w:cs="Segoe UI"/>
          <w:color w:val="404040"/>
          <w:lang w:val="en-US"/>
        </w:rPr>
      </w:pPr>
      <w:r>
        <w:rPr>
          <w:rStyle w:val="a4"/>
          <w:rFonts w:ascii="Segoe UI" w:hAnsi="Segoe UI" w:cs="Segoe UI"/>
          <w:color w:val="404040"/>
        </w:rPr>
        <w:t>(</w:t>
      </w:r>
      <w:proofErr w:type="spellStart"/>
      <w:r>
        <w:rPr>
          <w:rStyle w:val="a4"/>
          <w:rFonts w:ascii="Segoe UI" w:hAnsi="Segoe UI" w:cs="Segoe UI"/>
          <w:color w:val="404040"/>
        </w:rPr>
        <w:t>Stepwise</w:t>
      </w:r>
      <w:proofErr w:type="spellEnd"/>
      <w:r>
        <w:rPr>
          <w:rStyle w:val="a4"/>
          <w:rFonts w:ascii="Segoe UI" w:hAnsi="Segoe UI" w:cs="Segoe UI"/>
          <w:color w:val="404040"/>
        </w:rPr>
        <w:t xml:space="preserve"> </w:t>
      </w:r>
      <w:proofErr w:type="spellStart"/>
      <w:r>
        <w:rPr>
          <w:rStyle w:val="a4"/>
          <w:rFonts w:ascii="Segoe UI" w:hAnsi="Segoe UI" w:cs="Segoe UI"/>
          <w:color w:val="404040"/>
        </w:rPr>
        <w:t>clinical-genetic</w:t>
      </w:r>
      <w:proofErr w:type="spellEnd"/>
      <w:r>
        <w:rPr>
          <w:rStyle w:val="a4"/>
          <w:rFonts w:ascii="Segoe UI" w:hAnsi="Segoe UI" w:cs="Segoe UI"/>
          <w:color w:val="404040"/>
        </w:rPr>
        <w:t xml:space="preserve"> </w:t>
      </w:r>
      <w:proofErr w:type="spellStart"/>
      <w:r>
        <w:rPr>
          <w:rStyle w:val="a4"/>
          <w:rFonts w:ascii="Segoe UI" w:hAnsi="Segoe UI" w:cs="Segoe UI"/>
          <w:color w:val="404040"/>
        </w:rPr>
        <w:t>pathway</w:t>
      </w:r>
      <w:proofErr w:type="spellEnd"/>
      <w:r>
        <w:rPr>
          <w:rStyle w:val="a4"/>
          <w:rFonts w:ascii="Segoe UI" w:hAnsi="Segoe UI" w:cs="Segoe UI"/>
          <w:color w:val="404040"/>
        </w:rPr>
        <w:t>)</w:t>
      </w:r>
    </w:p>
    <w:p w:rsidR="008470CB" w:rsidRDefault="008470CB" w:rsidP="008470CB">
      <w:pPr>
        <w:pStyle w:val="ds-markdown-paragraph"/>
        <w:shd w:val="clear" w:color="auto" w:fill="FFFFFF"/>
        <w:rPr>
          <w:rFonts w:ascii="Segoe UI" w:hAnsi="Segoe UI" w:cs="Segoe UI"/>
          <w:color w:val="404040"/>
        </w:rPr>
      </w:pPr>
      <w:proofErr w:type="spellStart"/>
      <w:r>
        <w:rPr>
          <w:rStyle w:val="a3"/>
          <w:rFonts w:ascii="Segoe UI" w:hAnsi="Segoe UI" w:cs="Segoe UI"/>
          <w:color w:val="404040"/>
        </w:rPr>
        <w:t>Annotations</w:t>
      </w:r>
      <w:proofErr w:type="spellEnd"/>
      <w:r>
        <w:rPr>
          <w:rFonts w:ascii="Segoe UI" w:hAnsi="Segoe UI" w:cs="Segoe UI"/>
          <w:color w:val="404040"/>
        </w:rPr>
        <w:t>:</w:t>
      </w:r>
    </w:p>
    <w:p w:rsidR="008470CB" w:rsidRPr="008470CB" w:rsidRDefault="008470CB" w:rsidP="008470CB">
      <w:pPr>
        <w:pStyle w:val="ds-markdown-paragraph"/>
        <w:numPr>
          <w:ilvl w:val="0"/>
          <w:numId w:val="12"/>
        </w:numPr>
        <w:shd w:val="clear" w:color="auto" w:fill="FFFFFF"/>
        <w:spacing w:before="0" w:beforeAutospacing="0"/>
        <w:rPr>
          <w:rFonts w:ascii="Segoe UI" w:hAnsi="Segoe UI" w:cs="Segoe UI"/>
          <w:color w:val="404040"/>
          <w:lang w:val="en-US"/>
        </w:rPr>
      </w:pPr>
      <w:r w:rsidRPr="008470CB">
        <w:rPr>
          <w:rStyle w:val="a3"/>
          <w:rFonts w:ascii="Segoe UI" w:hAnsi="Segoe UI" w:cs="Segoe UI"/>
          <w:color w:val="404040"/>
          <w:lang w:val="en-US"/>
        </w:rPr>
        <w:t>Tiered Testing</w:t>
      </w:r>
      <w:r w:rsidRPr="008470CB">
        <w:rPr>
          <w:rFonts w:ascii="Segoe UI" w:hAnsi="Segoe UI" w:cs="Segoe UI"/>
          <w:color w:val="404040"/>
          <w:lang w:val="en-US"/>
        </w:rPr>
        <w:t>: Cost-effective strategy starting with phenotype-matched tests.</w:t>
      </w:r>
    </w:p>
    <w:p w:rsidR="008470CB" w:rsidRPr="008470CB" w:rsidRDefault="008470CB" w:rsidP="008470CB">
      <w:pPr>
        <w:pStyle w:val="ds-markdown-paragraph"/>
        <w:numPr>
          <w:ilvl w:val="0"/>
          <w:numId w:val="12"/>
        </w:numPr>
        <w:shd w:val="clear" w:color="auto" w:fill="FFFFFF"/>
        <w:spacing w:before="0" w:beforeAutospacing="0"/>
        <w:rPr>
          <w:rFonts w:ascii="Segoe UI" w:hAnsi="Segoe UI" w:cs="Segoe UI"/>
          <w:color w:val="404040"/>
          <w:lang w:val="en-US"/>
        </w:rPr>
      </w:pPr>
      <w:r w:rsidRPr="008470CB">
        <w:rPr>
          <w:rStyle w:val="a3"/>
          <w:rFonts w:ascii="Segoe UI" w:hAnsi="Segoe UI" w:cs="Segoe UI"/>
          <w:color w:val="404040"/>
          <w:lang w:val="en-US"/>
        </w:rPr>
        <w:t>Re-analysis</w:t>
      </w:r>
      <w:r w:rsidRPr="008470CB">
        <w:rPr>
          <w:rFonts w:ascii="Segoe UI" w:hAnsi="Segoe UI" w:cs="Segoe UI"/>
          <w:color w:val="404040"/>
          <w:lang w:val="en-US"/>
        </w:rPr>
        <w:t>: Up to 30% of negative WES cases solved upon re-evaluation.</w:t>
      </w:r>
    </w:p>
    <w:p w:rsidR="008470CB" w:rsidRPr="008470CB" w:rsidRDefault="008470CB" w:rsidP="008470CB">
      <w:pPr>
        <w:pStyle w:val="ds-markdown-paragraph"/>
        <w:numPr>
          <w:ilvl w:val="0"/>
          <w:numId w:val="12"/>
        </w:numPr>
        <w:shd w:val="clear" w:color="auto" w:fill="FFFFFF"/>
        <w:spacing w:before="0" w:beforeAutospacing="0"/>
        <w:rPr>
          <w:rFonts w:ascii="Segoe UI" w:hAnsi="Segoe UI" w:cs="Segoe UI"/>
          <w:color w:val="404040"/>
          <w:lang w:val="en-US"/>
        </w:rPr>
      </w:pPr>
      <w:r w:rsidRPr="008470CB">
        <w:rPr>
          <w:rStyle w:val="a3"/>
          <w:rFonts w:ascii="Segoe UI" w:hAnsi="Segoe UI" w:cs="Segoe UI"/>
          <w:color w:val="404040"/>
          <w:lang w:val="en-US"/>
        </w:rPr>
        <w:t>Therapeutics</w:t>
      </w:r>
      <w:r w:rsidRPr="008470CB">
        <w:rPr>
          <w:rFonts w:ascii="Segoe UI" w:hAnsi="Segoe UI" w:cs="Segoe UI"/>
          <w:color w:val="404040"/>
          <w:lang w:val="en-US"/>
        </w:rPr>
        <w:t>: Diagnosis enables targeted treatments (e.g., </w:t>
      </w:r>
      <w:r w:rsidRPr="008470CB">
        <w:rPr>
          <w:rStyle w:val="a4"/>
          <w:rFonts w:ascii="Segoe UI" w:hAnsi="Segoe UI" w:cs="Segoe UI"/>
          <w:color w:val="404040"/>
          <w:lang w:val="en-US"/>
        </w:rPr>
        <w:t>SMN1</w:t>
      </w:r>
      <w:r w:rsidRPr="008470CB">
        <w:rPr>
          <w:rFonts w:ascii="Segoe UI" w:hAnsi="Segoe UI" w:cs="Segoe UI"/>
          <w:color w:val="404040"/>
          <w:lang w:val="en-US"/>
        </w:rPr>
        <w:t xml:space="preserve"> → </w:t>
      </w:r>
      <w:proofErr w:type="spellStart"/>
      <w:r w:rsidRPr="008470CB">
        <w:rPr>
          <w:rFonts w:ascii="Segoe UI" w:hAnsi="Segoe UI" w:cs="Segoe UI"/>
          <w:color w:val="404040"/>
          <w:lang w:val="en-US"/>
        </w:rPr>
        <w:t>Nusinersen</w:t>
      </w:r>
      <w:proofErr w:type="spellEnd"/>
      <w:r w:rsidRPr="008470CB">
        <w:rPr>
          <w:rFonts w:ascii="Segoe UI" w:hAnsi="Segoe UI" w:cs="Segoe UI"/>
          <w:color w:val="404040"/>
          <w:lang w:val="en-US"/>
        </w:rPr>
        <w:t>).</w:t>
      </w:r>
    </w:p>
    <w:p w:rsidR="008470CB" w:rsidRPr="008470CB" w:rsidRDefault="008470CB" w:rsidP="008470CB">
      <w:pPr>
        <w:pStyle w:val="ds-markdown-paragraph"/>
        <w:shd w:val="clear" w:color="auto" w:fill="FFFFFF"/>
        <w:rPr>
          <w:rFonts w:ascii="Segoe UI" w:hAnsi="Segoe UI" w:cs="Segoe UI"/>
          <w:color w:val="404040"/>
          <w:lang w:val="en-US"/>
        </w:rPr>
      </w:pPr>
    </w:p>
    <w:p w:rsidR="008470CB" w:rsidRPr="008470CB" w:rsidRDefault="008470CB" w:rsidP="008470CB">
      <w:pPr>
        <w:rPr>
          <w:lang w:val="en-US"/>
        </w:rPr>
      </w:pPr>
      <w:r>
        <w:rPr>
          <w:noProof/>
          <w:lang w:eastAsia="ru-RU"/>
        </w:rPr>
        <w:lastRenderedPageBreak/>
        <w:drawing>
          <wp:inline distT="0" distB="0" distL="0" distR="0">
            <wp:extent cx="5940425" cy="10921719"/>
            <wp:effectExtent l="0" t="0" r="3175" b="0"/>
            <wp:docPr id="1" name="Рисунок 1" descr="C:\Users\User\Downloads\deepseek_mermaid_20250611_657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eepseek_mermaid_20250611_65786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0921719"/>
                    </a:xfrm>
                    <a:prstGeom prst="rect">
                      <a:avLst/>
                    </a:prstGeom>
                    <a:noFill/>
                    <a:ln>
                      <a:noFill/>
                    </a:ln>
                  </pic:spPr>
                </pic:pic>
              </a:graphicData>
            </a:graphic>
          </wp:inline>
        </w:drawing>
      </w:r>
      <w:bookmarkStart w:id="0" w:name="_GoBack"/>
      <w:bookmarkEnd w:id="0"/>
    </w:p>
    <w:sectPr w:rsidR="008470CB" w:rsidRPr="008470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0B5"/>
    <w:multiLevelType w:val="multilevel"/>
    <w:tmpl w:val="BC0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757DB"/>
    <w:multiLevelType w:val="multilevel"/>
    <w:tmpl w:val="6B7E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342A8"/>
    <w:multiLevelType w:val="multilevel"/>
    <w:tmpl w:val="BA0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048F8"/>
    <w:multiLevelType w:val="multilevel"/>
    <w:tmpl w:val="3D6A6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270D7"/>
    <w:multiLevelType w:val="multilevel"/>
    <w:tmpl w:val="64F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E44BA9"/>
    <w:multiLevelType w:val="multilevel"/>
    <w:tmpl w:val="B02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6738C"/>
    <w:multiLevelType w:val="multilevel"/>
    <w:tmpl w:val="1F00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0924E7"/>
    <w:multiLevelType w:val="multilevel"/>
    <w:tmpl w:val="CC98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66275"/>
    <w:multiLevelType w:val="multilevel"/>
    <w:tmpl w:val="D97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C7CA2"/>
    <w:multiLevelType w:val="multilevel"/>
    <w:tmpl w:val="609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BC621C"/>
    <w:multiLevelType w:val="multilevel"/>
    <w:tmpl w:val="318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AD6B66"/>
    <w:multiLevelType w:val="multilevel"/>
    <w:tmpl w:val="062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F4009"/>
    <w:multiLevelType w:val="multilevel"/>
    <w:tmpl w:val="C808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AF4E37"/>
    <w:multiLevelType w:val="multilevel"/>
    <w:tmpl w:val="B5F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2"/>
  </w:num>
  <w:num w:numId="4">
    <w:abstractNumId w:val="8"/>
  </w:num>
  <w:num w:numId="5">
    <w:abstractNumId w:val="1"/>
  </w:num>
  <w:num w:numId="6">
    <w:abstractNumId w:val="4"/>
  </w:num>
  <w:num w:numId="7">
    <w:abstractNumId w:val="5"/>
  </w:num>
  <w:num w:numId="8">
    <w:abstractNumId w:val="11"/>
  </w:num>
  <w:num w:numId="9">
    <w:abstractNumId w:val="9"/>
  </w:num>
  <w:num w:numId="10">
    <w:abstractNumId w:val="6"/>
  </w:num>
  <w:num w:numId="11">
    <w:abstractNumId w:val="0"/>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CB"/>
    <w:rsid w:val="001A44B0"/>
    <w:rsid w:val="008470CB"/>
    <w:rsid w:val="00ED2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470C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470CB"/>
    <w:rPr>
      <w:rFonts w:ascii="Times New Roman" w:eastAsia="Times New Roman" w:hAnsi="Times New Roman" w:cs="Times New Roman"/>
      <w:b/>
      <w:bCs/>
      <w:sz w:val="27"/>
      <w:szCs w:val="27"/>
      <w:lang w:eastAsia="ru-RU"/>
    </w:rPr>
  </w:style>
  <w:style w:type="character" w:styleId="a3">
    <w:name w:val="Strong"/>
    <w:basedOn w:val="a0"/>
    <w:uiPriority w:val="22"/>
    <w:qFormat/>
    <w:rsid w:val="008470CB"/>
    <w:rPr>
      <w:b/>
      <w:bCs/>
    </w:rPr>
  </w:style>
  <w:style w:type="paragraph" w:customStyle="1" w:styleId="ds-markdown-paragraph">
    <w:name w:val="ds-markdown-paragraph"/>
    <w:basedOn w:val="a"/>
    <w:rsid w:val="008470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470CB"/>
    <w:rPr>
      <w:i/>
      <w:iCs/>
    </w:rPr>
  </w:style>
  <w:style w:type="paragraph" w:styleId="a5">
    <w:name w:val="Balloon Text"/>
    <w:basedOn w:val="a"/>
    <w:link w:val="a6"/>
    <w:uiPriority w:val="99"/>
    <w:semiHidden/>
    <w:unhideWhenUsed/>
    <w:rsid w:val="008470C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47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470C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470CB"/>
    <w:rPr>
      <w:rFonts w:ascii="Times New Roman" w:eastAsia="Times New Roman" w:hAnsi="Times New Roman" w:cs="Times New Roman"/>
      <w:b/>
      <w:bCs/>
      <w:sz w:val="27"/>
      <w:szCs w:val="27"/>
      <w:lang w:eastAsia="ru-RU"/>
    </w:rPr>
  </w:style>
  <w:style w:type="character" w:styleId="a3">
    <w:name w:val="Strong"/>
    <w:basedOn w:val="a0"/>
    <w:uiPriority w:val="22"/>
    <w:qFormat/>
    <w:rsid w:val="008470CB"/>
    <w:rPr>
      <w:b/>
      <w:bCs/>
    </w:rPr>
  </w:style>
  <w:style w:type="paragraph" w:customStyle="1" w:styleId="ds-markdown-paragraph">
    <w:name w:val="ds-markdown-paragraph"/>
    <w:basedOn w:val="a"/>
    <w:rsid w:val="008470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470CB"/>
    <w:rPr>
      <w:i/>
      <w:iCs/>
    </w:rPr>
  </w:style>
  <w:style w:type="paragraph" w:styleId="a5">
    <w:name w:val="Balloon Text"/>
    <w:basedOn w:val="a"/>
    <w:link w:val="a6"/>
    <w:uiPriority w:val="99"/>
    <w:semiHidden/>
    <w:unhideWhenUsed/>
    <w:rsid w:val="008470C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47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70123">
      <w:bodyDiv w:val="1"/>
      <w:marLeft w:val="0"/>
      <w:marRight w:val="0"/>
      <w:marTop w:val="0"/>
      <w:marBottom w:val="0"/>
      <w:divBdr>
        <w:top w:val="none" w:sz="0" w:space="0" w:color="auto"/>
        <w:left w:val="none" w:sz="0" w:space="0" w:color="auto"/>
        <w:bottom w:val="none" w:sz="0" w:space="0" w:color="auto"/>
        <w:right w:val="none" w:sz="0" w:space="0" w:color="auto"/>
      </w:divBdr>
    </w:div>
    <w:div w:id="1094130495">
      <w:bodyDiv w:val="1"/>
      <w:marLeft w:val="0"/>
      <w:marRight w:val="0"/>
      <w:marTop w:val="0"/>
      <w:marBottom w:val="0"/>
      <w:divBdr>
        <w:top w:val="none" w:sz="0" w:space="0" w:color="auto"/>
        <w:left w:val="none" w:sz="0" w:space="0" w:color="auto"/>
        <w:bottom w:val="none" w:sz="0" w:space="0" w:color="auto"/>
        <w:right w:val="none" w:sz="0" w:space="0" w:color="auto"/>
      </w:divBdr>
    </w:div>
    <w:div w:id="1101098229">
      <w:bodyDiv w:val="1"/>
      <w:marLeft w:val="0"/>
      <w:marRight w:val="0"/>
      <w:marTop w:val="0"/>
      <w:marBottom w:val="0"/>
      <w:divBdr>
        <w:top w:val="none" w:sz="0" w:space="0" w:color="auto"/>
        <w:left w:val="none" w:sz="0" w:space="0" w:color="auto"/>
        <w:bottom w:val="none" w:sz="0" w:space="0" w:color="auto"/>
        <w:right w:val="none" w:sz="0" w:space="0" w:color="auto"/>
      </w:divBdr>
    </w:div>
    <w:div w:id="1289434980">
      <w:bodyDiv w:val="1"/>
      <w:marLeft w:val="0"/>
      <w:marRight w:val="0"/>
      <w:marTop w:val="0"/>
      <w:marBottom w:val="0"/>
      <w:divBdr>
        <w:top w:val="none" w:sz="0" w:space="0" w:color="auto"/>
        <w:left w:val="none" w:sz="0" w:space="0" w:color="auto"/>
        <w:bottom w:val="none" w:sz="0" w:space="0" w:color="auto"/>
        <w:right w:val="none" w:sz="0" w:space="0" w:color="auto"/>
      </w:divBdr>
      <w:divsChild>
        <w:div w:id="1154636947">
          <w:marLeft w:val="0"/>
          <w:marRight w:val="0"/>
          <w:marTop w:val="0"/>
          <w:marBottom w:val="0"/>
          <w:divBdr>
            <w:top w:val="none" w:sz="0" w:space="0" w:color="auto"/>
            <w:left w:val="none" w:sz="0" w:space="0" w:color="auto"/>
            <w:bottom w:val="none" w:sz="0" w:space="0" w:color="auto"/>
            <w:right w:val="none" w:sz="0" w:space="0" w:color="auto"/>
          </w:divBdr>
        </w:div>
      </w:divsChild>
    </w:div>
    <w:div w:id="1507014039">
      <w:bodyDiv w:val="1"/>
      <w:marLeft w:val="0"/>
      <w:marRight w:val="0"/>
      <w:marTop w:val="0"/>
      <w:marBottom w:val="0"/>
      <w:divBdr>
        <w:top w:val="none" w:sz="0" w:space="0" w:color="auto"/>
        <w:left w:val="none" w:sz="0" w:space="0" w:color="auto"/>
        <w:bottom w:val="none" w:sz="0" w:space="0" w:color="auto"/>
        <w:right w:val="none" w:sz="0" w:space="0" w:color="auto"/>
      </w:divBdr>
    </w:div>
    <w:div w:id="1635478178">
      <w:bodyDiv w:val="1"/>
      <w:marLeft w:val="0"/>
      <w:marRight w:val="0"/>
      <w:marTop w:val="0"/>
      <w:marBottom w:val="0"/>
      <w:divBdr>
        <w:top w:val="none" w:sz="0" w:space="0" w:color="auto"/>
        <w:left w:val="none" w:sz="0" w:space="0" w:color="auto"/>
        <w:bottom w:val="none" w:sz="0" w:space="0" w:color="auto"/>
        <w:right w:val="none" w:sz="0" w:space="0" w:color="auto"/>
      </w:divBdr>
    </w:div>
    <w:div w:id="18793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2060</Words>
  <Characters>11745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2025-06-11T07:03:00Z</cp:lastPrinted>
  <dcterms:created xsi:type="dcterms:W3CDTF">2025-06-11T06:50:00Z</dcterms:created>
  <dcterms:modified xsi:type="dcterms:W3CDTF">2025-06-11T07:04:00Z</dcterms:modified>
</cp:coreProperties>
</file>