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607C49" w:rsidRPr="00607C49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цифровых технологий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</w:t>
      </w:r>
      <w:r w:rsidR="00607C49"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 w:rsidR="00607C49">
        <w:rPr>
          <w:rFonts w:ascii="Times New Roman" w:eastAsia="Times New Roman" w:hAnsi="Times New Roman" w:cs="Times New Roman"/>
          <w:kern w:val="0"/>
          <w:sz w:val="28"/>
          <w:szCs w:val="28"/>
        </w:rPr>
        <w:t>1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="00607C49">
        <w:rPr>
          <w:rFonts w:ascii="Times New Roman" w:eastAsia="Times New Roman" w:hAnsi="Times New Roman" w:cs="Times New Roman"/>
          <w:kern w:val="0"/>
          <w:sz w:val="28"/>
          <w:szCs w:val="28"/>
        </w:rPr>
        <w:t>Математика и компьютерные науки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A246CF" w:rsidRPr="00A246CF">
        <w:rPr>
          <w:rFonts w:ascii="Times New Roman" w:eastAsia="Times New Roman" w:hAnsi="Times New Roman" w:cs="Times New Roman"/>
          <w:kern w:val="0"/>
          <w:sz w:val="28"/>
          <w:szCs w:val="28"/>
        </w:rPr>
        <w:t>Распределенные системы и искусственный интеллект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6800E9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Кургалин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6800E9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д.ф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-м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9323DC" w:rsidRPr="009323DC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цифровых технологий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4"/>
        <w:gridCol w:w="3630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9323DC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323DC">
              <w:rPr>
                <w:rFonts w:ascii="Times New Roman" w:hAnsi="Times New Roman"/>
                <w:sz w:val="28"/>
                <w:szCs w:val="28"/>
              </w:rPr>
              <w:t>цифровых технологий</w:t>
            </w:r>
          </w:p>
          <w:p w:rsidR="009323DC" w:rsidRPr="00A46740" w:rsidRDefault="009323DC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9323DC">
              <w:rPr>
                <w:rFonts w:ascii="Times New Roman" w:hAnsi="Times New Roman"/>
                <w:sz w:val="28"/>
                <w:szCs w:val="28"/>
              </w:rPr>
              <w:t>С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9323DC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9323DC">
              <w:rPr>
                <w:rFonts w:ascii="Times New Roman" w:hAnsi="Times New Roman"/>
                <w:sz w:val="28"/>
                <w:szCs w:val="28"/>
              </w:rPr>
              <w:t>Кургалин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</w:t>
      </w:r>
      <w:r w:rsidR="001F0609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1F0609">
        <w:rPr>
          <w:rFonts w:ascii="Times New Roman" w:eastAsia="Arial" w:hAnsi="Times New Roman" w:cs="Times New Roman"/>
          <w:kern w:val="0"/>
          <w:sz w:val="20"/>
          <w:szCs w:val="20"/>
        </w:rPr>
        <w:t>1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</w:t>
      </w:r>
      <w:r w:rsidR="001F0609">
        <w:rPr>
          <w:rFonts w:ascii="Times New Roman" w:eastAsia="Arial" w:hAnsi="Times New Roman" w:cs="Times New Roman"/>
          <w:kern w:val="0"/>
          <w:sz w:val="20"/>
          <w:szCs w:val="20"/>
        </w:rPr>
        <w:t>Математика и компьютерные науки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A246CF" w:rsidRDefault="001D7AD0" w:rsidP="00E11A13">
      <w:pPr>
        <w:pStyle w:val="aff5"/>
        <w:rPr>
          <w:lang w:val="en-US"/>
        </w:rPr>
      </w:pPr>
      <w:r w:rsidRPr="00F15232">
        <w:t>Пример</w:t>
      </w:r>
      <w:r w:rsidRPr="00A246CF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6DC" w:rsidRDefault="00A816DC" w:rsidP="00A46740">
      <w:pPr>
        <w:spacing w:after="0" w:line="240" w:lineRule="auto"/>
      </w:pPr>
      <w:r>
        <w:separator/>
      </w:r>
    </w:p>
    <w:p w:rsidR="00A816DC" w:rsidRDefault="00A816DC"/>
  </w:endnote>
  <w:endnote w:type="continuationSeparator" w:id="0">
    <w:p w:rsidR="00A816DC" w:rsidRDefault="00A816DC" w:rsidP="00A46740">
      <w:pPr>
        <w:spacing w:after="0" w:line="240" w:lineRule="auto"/>
      </w:pPr>
      <w:r>
        <w:continuationSeparator/>
      </w:r>
    </w:p>
    <w:p w:rsidR="00A816DC" w:rsidRDefault="00A816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6DC" w:rsidRDefault="00A816DC" w:rsidP="00A46740">
      <w:pPr>
        <w:spacing w:after="0" w:line="240" w:lineRule="auto"/>
      </w:pPr>
      <w:r>
        <w:separator/>
      </w:r>
    </w:p>
    <w:p w:rsidR="00A816DC" w:rsidRDefault="00A816DC"/>
  </w:footnote>
  <w:footnote w:type="continuationSeparator" w:id="0">
    <w:p w:rsidR="00A816DC" w:rsidRDefault="00A816DC" w:rsidP="00A46740">
      <w:pPr>
        <w:spacing w:after="0" w:line="240" w:lineRule="auto"/>
      </w:pPr>
      <w:r>
        <w:continuationSeparator/>
      </w:r>
    </w:p>
    <w:p w:rsidR="00A816DC" w:rsidRDefault="00A816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0609"/>
    <w:rsid w:val="001F509F"/>
    <w:rsid w:val="00220B79"/>
    <w:rsid w:val="00225986"/>
    <w:rsid w:val="002271EA"/>
    <w:rsid w:val="00233A88"/>
    <w:rsid w:val="00292E1B"/>
    <w:rsid w:val="002E66A1"/>
    <w:rsid w:val="00301F3C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07C49"/>
    <w:rsid w:val="006246C3"/>
    <w:rsid w:val="006770EA"/>
    <w:rsid w:val="006800E9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323DC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246CF"/>
    <w:rsid w:val="00A4297B"/>
    <w:rsid w:val="00A46740"/>
    <w:rsid w:val="00A62ABA"/>
    <w:rsid w:val="00A816DC"/>
    <w:rsid w:val="00A843C7"/>
    <w:rsid w:val="00AB082D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39FD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4332</Words>
  <Characters>24699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7</cp:revision>
  <dcterms:created xsi:type="dcterms:W3CDTF">2023-06-03T09:08:00Z</dcterms:created>
  <dcterms:modified xsi:type="dcterms:W3CDTF">2023-06-04T00:07:00Z</dcterms:modified>
</cp:coreProperties>
</file>