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B02A70" w:rsidRPr="00B02A7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технологий обработки и защиты информации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31351E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Магистерская диссертация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</w:t>
      </w:r>
      <w:r w:rsidR="0031351E">
        <w:rPr>
          <w:rFonts w:ascii="Times New Roman" w:eastAsia="Times New Roman" w:hAnsi="Times New Roman" w:cs="Times New Roman"/>
          <w:kern w:val="0"/>
          <w:sz w:val="28"/>
          <w:szCs w:val="28"/>
        </w:rPr>
        <w:t>4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ые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системы и технологии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B829E2" w:rsidRPr="00B829E2">
        <w:rPr>
          <w:rFonts w:ascii="Times New Roman" w:eastAsia="Times New Roman" w:hAnsi="Times New Roman" w:cs="Times New Roman"/>
          <w:kern w:val="0"/>
          <w:sz w:val="28"/>
          <w:szCs w:val="28"/>
        </w:rPr>
        <w:t>Системы прикладного искусственного интеллекта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B02A7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Сирота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B02A7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.т.н.,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B02A70" w:rsidRPr="00B02A7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технологий обработки и защиты информации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396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Default="00B02A7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02A70">
              <w:rPr>
                <w:rFonts w:ascii="Times New Roman" w:hAnsi="Times New Roman"/>
                <w:sz w:val="28"/>
                <w:szCs w:val="28"/>
              </w:rPr>
              <w:t>технологий обработки и защиты информации</w:t>
            </w:r>
          </w:p>
          <w:p w:rsidR="00B02A70" w:rsidRPr="00A46740" w:rsidRDefault="00B02A7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B02A70">
              <w:rPr>
                <w:rFonts w:ascii="Times New Roman" w:hAnsi="Times New Roman"/>
                <w:sz w:val="28"/>
                <w:szCs w:val="28"/>
              </w:rPr>
              <w:t>А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B02A70">
              <w:rPr>
                <w:rFonts w:ascii="Times New Roman" w:hAnsi="Times New Roman"/>
                <w:sz w:val="28"/>
                <w:szCs w:val="28"/>
              </w:rPr>
              <w:t>А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B02A70">
              <w:rPr>
                <w:rFonts w:ascii="Times New Roman" w:hAnsi="Times New Roman"/>
                <w:sz w:val="28"/>
                <w:szCs w:val="28"/>
              </w:rPr>
              <w:t>Сирота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</w:t>
      </w:r>
      <w:r w:rsidR="0031351E">
        <w:rPr>
          <w:rFonts w:ascii="Times New Roman" w:eastAsia="Arial" w:hAnsi="Times New Roman" w:cs="Times New Roman"/>
          <w:kern w:val="0"/>
          <w:sz w:val="20"/>
          <w:szCs w:val="20"/>
        </w:rPr>
        <w:t>__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</w:t>
      </w:r>
      <w:r w:rsidR="0031351E">
        <w:rPr>
          <w:rFonts w:ascii="Times New Roman" w:eastAsia="Arial" w:hAnsi="Times New Roman" w:cs="Times New Roman"/>
          <w:kern w:val="0"/>
          <w:sz w:val="20"/>
          <w:szCs w:val="20"/>
        </w:rPr>
        <w:t>4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Информационн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ые системы и технологии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B02A70" w:rsidRDefault="001D7AD0" w:rsidP="00E11A13">
      <w:pPr>
        <w:pStyle w:val="aff5"/>
        <w:rPr>
          <w:lang w:val="en-US"/>
        </w:rPr>
      </w:pPr>
      <w:r w:rsidRPr="00F15232">
        <w:t>Пример</w:t>
      </w:r>
      <w:r w:rsidRPr="00B02A70">
        <w:rPr>
          <w:lang w:val="en-US"/>
        </w:rPr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3388" w:rsidRDefault="00F93388" w:rsidP="00A46740">
      <w:pPr>
        <w:spacing w:after="0" w:line="240" w:lineRule="auto"/>
      </w:pPr>
      <w:r>
        <w:separator/>
      </w:r>
    </w:p>
    <w:p w:rsidR="00F93388" w:rsidRDefault="00F93388"/>
  </w:endnote>
  <w:endnote w:type="continuationSeparator" w:id="0">
    <w:p w:rsidR="00F93388" w:rsidRDefault="00F93388" w:rsidP="00A46740">
      <w:pPr>
        <w:spacing w:after="0" w:line="240" w:lineRule="auto"/>
      </w:pPr>
      <w:r>
        <w:continuationSeparator/>
      </w:r>
    </w:p>
    <w:p w:rsidR="00F93388" w:rsidRDefault="00F933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3388" w:rsidRDefault="00F93388" w:rsidP="00A46740">
      <w:pPr>
        <w:spacing w:after="0" w:line="240" w:lineRule="auto"/>
      </w:pPr>
      <w:r>
        <w:separator/>
      </w:r>
    </w:p>
    <w:p w:rsidR="00F93388" w:rsidRDefault="00F93388"/>
  </w:footnote>
  <w:footnote w:type="continuationSeparator" w:id="0">
    <w:p w:rsidR="00F93388" w:rsidRDefault="00F93388" w:rsidP="00A46740">
      <w:pPr>
        <w:spacing w:after="0" w:line="240" w:lineRule="auto"/>
      </w:pPr>
      <w:r>
        <w:continuationSeparator/>
      </w:r>
    </w:p>
    <w:p w:rsidR="00F93388" w:rsidRDefault="00F933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5078A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92E1B"/>
    <w:rsid w:val="002E66A1"/>
    <w:rsid w:val="00301F3C"/>
    <w:rsid w:val="0031351E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B5197"/>
    <w:rsid w:val="00523428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43C7"/>
    <w:rsid w:val="00AB082D"/>
    <w:rsid w:val="00AB495A"/>
    <w:rsid w:val="00AC7932"/>
    <w:rsid w:val="00B02A70"/>
    <w:rsid w:val="00B22E04"/>
    <w:rsid w:val="00B54301"/>
    <w:rsid w:val="00B63888"/>
    <w:rsid w:val="00B7420F"/>
    <w:rsid w:val="00B75835"/>
    <w:rsid w:val="00B829E2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3388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5F61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4342</Words>
  <Characters>24755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5</cp:revision>
  <dcterms:created xsi:type="dcterms:W3CDTF">2023-06-03T09:08:00Z</dcterms:created>
  <dcterms:modified xsi:type="dcterms:W3CDTF">2023-06-04T00:35:00Z</dcterms:modified>
</cp:coreProperties>
</file>