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4" w:type="dxa"/>
        <w:tblLook w:val="04A0" w:firstRow="1" w:lastRow="0" w:firstColumn="1" w:lastColumn="0" w:noHBand="0" w:noVBand="1"/>
      </w:tblPr>
      <w:tblGrid>
        <w:gridCol w:w="2830"/>
        <w:gridCol w:w="992"/>
        <w:gridCol w:w="1134"/>
        <w:gridCol w:w="992"/>
        <w:gridCol w:w="1134"/>
        <w:gridCol w:w="1336"/>
        <w:gridCol w:w="1216"/>
      </w:tblGrid>
      <w:tr w:rsidR="009A6385" w:rsidRPr="009A6385" w:rsidTr="00922F41">
        <w:tc>
          <w:tcPr>
            <w:tcW w:w="2830" w:type="dxa"/>
            <w:vAlign w:val="center"/>
          </w:tcPr>
          <w:p w:rsidR="009A6385" w:rsidRPr="009A6385" w:rsidRDefault="009A6385" w:rsidP="009A6385">
            <w:pPr>
              <w:jc w:val="center"/>
              <w:rPr>
                <w:rFonts w:ascii="Times New Roman" w:hAnsi="Times New Roman" w:cs="Times New Roman"/>
                <w:b/>
                <w:sz w:val="26"/>
                <w:szCs w:val="26"/>
              </w:rPr>
            </w:pPr>
            <w:r w:rsidRPr="009A6385">
              <w:rPr>
                <w:rFonts w:ascii="Times New Roman" w:hAnsi="Times New Roman" w:cs="Times New Roman"/>
                <w:b/>
                <w:sz w:val="26"/>
                <w:szCs w:val="26"/>
              </w:rPr>
              <w:t>Tên chỉ tiêu</w:t>
            </w:r>
          </w:p>
        </w:tc>
        <w:tc>
          <w:tcPr>
            <w:tcW w:w="992" w:type="dxa"/>
            <w:vAlign w:val="center"/>
          </w:tcPr>
          <w:p w:rsidR="009A6385" w:rsidRPr="009A6385" w:rsidRDefault="009A6385" w:rsidP="009A6385">
            <w:pPr>
              <w:jc w:val="center"/>
              <w:rPr>
                <w:rFonts w:ascii="Times New Roman" w:hAnsi="Times New Roman" w:cs="Times New Roman"/>
                <w:b/>
                <w:sz w:val="26"/>
                <w:szCs w:val="26"/>
              </w:rPr>
            </w:pPr>
            <w:r w:rsidRPr="009A6385">
              <w:rPr>
                <w:rFonts w:ascii="Times New Roman" w:hAnsi="Times New Roman" w:cs="Times New Roman"/>
                <w:b/>
                <w:sz w:val="26"/>
                <w:szCs w:val="26"/>
              </w:rPr>
              <w:t>KH 2015</w:t>
            </w:r>
          </w:p>
        </w:tc>
        <w:tc>
          <w:tcPr>
            <w:tcW w:w="1134" w:type="dxa"/>
            <w:vAlign w:val="center"/>
          </w:tcPr>
          <w:p w:rsidR="009A6385" w:rsidRPr="009A6385" w:rsidRDefault="009A6385" w:rsidP="009A6385">
            <w:pPr>
              <w:jc w:val="center"/>
              <w:rPr>
                <w:rFonts w:ascii="Times New Roman" w:hAnsi="Times New Roman" w:cs="Times New Roman"/>
                <w:b/>
                <w:sz w:val="26"/>
                <w:szCs w:val="26"/>
              </w:rPr>
            </w:pPr>
            <w:r w:rsidRPr="009A6385">
              <w:rPr>
                <w:rFonts w:ascii="Times New Roman" w:hAnsi="Times New Roman" w:cs="Times New Roman"/>
                <w:b/>
                <w:sz w:val="26"/>
                <w:szCs w:val="26"/>
              </w:rPr>
              <w:t>TH 2015</w:t>
            </w:r>
          </w:p>
        </w:tc>
        <w:tc>
          <w:tcPr>
            <w:tcW w:w="992" w:type="dxa"/>
            <w:vAlign w:val="center"/>
          </w:tcPr>
          <w:p w:rsidR="009A6385" w:rsidRPr="009A6385" w:rsidRDefault="009A6385" w:rsidP="009A6385">
            <w:pPr>
              <w:jc w:val="center"/>
              <w:rPr>
                <w:rFonts w:ascii="Times New Roman" w:hAnsi="Times New Roman" w:cs="Times New Roman"/>
                <w:b/>
                <w:sz w:val="26"/>
                <w:szCs w:val="26"/>
              </w:rPr>
            </w:pPr>
            <w:r w:rsidRPr="009A6385">
              <w:rPr>
                <w:rFonts w:ascii="Times New Roman" w:hAnsi="Times New Roman" w:cs="Times New Roman"/>
                <w:b/>
                <w:sz w:val="26"/>
                <w:szCs w:val="26"/>
              </w:rPr>
              <w:t>TH 2014</w:t>
            </w:r>
          </w:p>
        </w:tc>
        <w:tc>
          <w:tcPr>
            <w:tcW w:w="1134" w:type="dxa"/>
            <w:vAlign w:val="center"/>
          </w:tcPr>
          <w:p w:rsidR="009A6385" w:rsidRPr="009A6385" w:rsidRDefault="009A6385" w:rsidP="009A6385">
            <w:pPr>
              <w:jc w:val="center"/>
              <w:rPr>
                <w:rFonts w:ascii="Times New Roman" w:hAnsi="Times New Roman" w:cs="Times New Roman"/>
                <w:b/>
                <w:sz w:val="26"/>
                <w:szCs w:val="26"/>
              </w:rPr>
            </w:pPr>
            <w:r w:rsidRPr="009A6385">
              <w:rPr>
                <w:rFonts w:ascii="Times New Roman" w:hAnsi="Times New Roman" w:cs="Times New Roman"/>
                <w:b/>
                <w:sz w:val="26"/>
                <w:szCs w:val="26"/>
              </w:rPr>
              <w:t>% KH</w:t>
            </w:r>
          </w:p>
        </w:tc>
        <w:tc>
          <w:tcPr>
            <w:tcW w:w="1336" w:type="dxa"/>
            <w:vAlign w:val="center"/>
          </w:tcPr>
          <w:p w:rsidR="009A6385" w:rsidRPr="009A6385" w:rsidRDefault="009A6385" w:rsidP="009A6385">
            <w:pPr>
              <w:jc w:val="center"/>
              <w:rPr>
                <w:rFonts w:ascii="Times New Roman" w:hAnsi="Times New Roman" w:cs="Times New Roman"/>
                <w:b/>
                <w:sz w:val="26"/>
                <w:szCs w:val="26"/>
              </w:rPr>
            </w:pPr>
            <w:r w:rsidRPr="009A6385">
              <w:rPr>
                <w:rFonts w:ascii="Times New Roman" w:hAnsi="Times New Roman" w:cs="Times New Roman"/>
                <w:b/>
                <w:sz w:val="26"/>
                <w:szCs w:val="26"/>
              </w:rPr>
              <w:t>% CK</w:t>
            </w:r>
          </w:p>
        </w:tc>
        <w:tc>
          <w:tcPr>
            <w:tcW w:w="1216" w:type="dxa"/>
            <w:vAlign w:val="center"/>
          </w:tcPr>
          <w:p w:rsidR="009A6385" w:rsidRPr="009A6385" w:rsidRDefault="009A6385" w:rsidP="009A6385">
            <w:pPr>
              <w:jc w:val="center"/>
              <w:rPr>
                <w:rFonts w:ascii="Times New Roman" w:hAnsi="Times New Roman" w:cs="Times New Roman"/>
                <w:b/>
                <w:sz w:val="26"/>
                <w:szCs w:val="26"/>
              </w:rPr>
            </w:pPr>
            <w:r w:rsidRPr="009A6385">
              <w:rPr>
                <w:rFonts w:ascii="Times New Roman" w:hAnsi="Times New Roman" w:cs="Times New Roman"/>
                <w:b/>
                <w:sz w:val="26"/>
                <w:szCs w:val="26"/>
              </w:rPr>
              <w:t>+/- so CK</w:t>
            </w:r>
          </w:p>
        </w:tc>
      </w:tr>
      <w:tr w:rsidR="009A6385" w:rsidRPr="009A6385" w:rsidTr="00922F41">
        <w:trPr>
          <w:trHeight w:val="651"/>
        </w:trPr>
        <w:tc>
          <w:tcPr>
            <w:tcW w:w="2830" w:type="dxa"/>
          </w:tcPr>
          <w:p w:rsidR="009A6385" w:rsidRPr="00922F41" w:rsidRDefault="009A6385" w:rsidP="00922F41">
            <w:pPr>
              <w:rPr>
                <w:rFonts w:ascii="Times New Roman" w:hAnsi="Times New Roman" w:cs="Times New Roman"/>
                <w:sz w:val="26"/>
                <w:szCs w:val="26"/>
              </w:rPr>
            </w:pPr>
            <w:r w:rsidRPr="00922F41">
              <w:rPr>
                <w:rFonts w:ascii="Times New Roman" w:hAnsi="Times New Roman" w:cs="Times New Roman"/>
                <w:sz w:val="26"/>
                <w:szCs w:val="26"/>
              </w:rPr>
              <w:t>Quảng cáo, khuyến mại. chăm sóc khách hàng</w:t>
            </w:r>
            <w:r w:rsidR="00922F41" w:rsidRPr="00922F41">
              <w:rPr>
                <w:rFonts w:ascii="Times New Roman" w:hAnsi="Times New Roman" w:cs="Times New Roman"/>
                <w:sz w:val="26"/>
                <w:szCs w:val="26"/>
              </w:rPr>
              <w:t>…</w:t>
            </w:r>
          </w:p>
        </w:tc>
        <w:tc>
          <w:tcPr>
            <w:tcW w:w="992" w:type="dxa"/>
            <w:vAlign w:val="center"/>
          </w:tcPr>
          <w:p w:rsidR="009A6385" w:rsidRPr="00922F41" w:rsidRDefault="009A6385" w:rsidP="00922F41">
            <w:pPr>
              <w:jc w:val="right"/>
              <w:rPr>
                <w:rFonts w:ascii="Times New Roman" w:hAnsi="Times New Roman" w:cs="Times New Roman"/>
                <w:sz w:val="26"/>
                <w:szCs w:val="26"/>
              </w:rPr>
            </w:pPr>
            <w:r w:rsidRPr="00922F41">
              <w:rPr>
                <w:rFonts w:ascii="Times New Roman" w:hAnsi="Times New Roman" w:cs="Times New Roman"/>
                <w:sz w:val="26"/>
                <w:szCs w:val="26"/>
              </w:rPr>
              <w:t>5. 152</w:t>
            </w:r>
          </w:p>
        </w:tc>
        <w:tc>
          <w:tcPr>
            <w:tcW w:w="1134" w:type="dxa"/>
            <w:vAlign w:val="center"/>
          </w:tcPr>
          <w:p w:rsidR="009A6385" w:rsidRPr="00922F41" w:rsidRDefault="009A6385" w:rsidP="00922F41">
            <w:pPr>
              <w:jc w:val="right"/>
              <w:rPr>
                <w:rFonts w:ascii="Times New Roman" w:hAnsi="Times New Roman" w:cs="Times New Roman"/>
                <w:sz w:val="26"/>
                <w:szCs w:val="26"/>
              </w:rPr>
            </w:pPr>
            <w:r w:rsidRPr="00922F41">
              <w:rPr>
                <w:rFonts w:ascii="Times New Roman" w:hAnsi="Times New Roman" w:cs="Times New Roman"/>
                <w:sz w:val="26"/>
                <w:szCs w:val="26"/>
              </w:rPr>
              <w:t>5.956</w:t>
            </w:r>
          </w:p>
        </w:tc>
        <w:tc>
          <w:tcPr>
            <w:tcW w:w="992" w:type="dxa"/>
            <w:vAlign w:val="center"/>
          </w:tcPr>
          <w:p w:rsidR="009A6385" w:rsidRPr="00922F41" w:rsidRDefault="009A6385" w:rsidP="00922F41">
            <w:pPr>
              <w:jc w:val="right"/>
              <w:rPr>
                <w:rFonts w:ascii="Times New Roman" w:hAnsi="Times New Roman" w:cs="Times New Roman"/>
                <w:sz w:val="26"/>
                <w:szCs w:val="26"/>
              </w:rPr>
            </w:pPr>
            <w:r w:rsidRPr="00922F41">
              <w:rPr>
                <w:rFonts w:ascii="Times New Roman" w:hAnsi="Times New Roman" w:cs="Times New Roman"/>
                <w:sz w:val="26"/>
                <w:szCs w:val="26"/>
              </w:rPr>
              <w:t>7.620</w:t>
            </w:r>
          </w:p>
        </w:tc>
        <w:tc>
          <w:tcPr>
            <w:tcW w:w="1134" w:type="dxa"/>
            <w:vAlign w:val="center"/>
          </w:tcPr>
          <w:p w:rsidR="009A6385" w:rsidRPr="00922F41" w:rsidRDefault="009A6385" w:rsidP="00922F41">
            <w:pPr>
              <w:jc w:val="right"/>
              <w:rPr>
                <w:rFonts w:ascii="Times New Roman" w:hAnsi="Times New Roman" w:cs="Times New Roman"/>
                <w:sz w:val="26"/>
                <w:szCs w:val="26"/>
              </w:rPr>
            </w:pPr>
            <w:r w:rsidRPr="00922F41">
              <w:rPr>
                <w:rFonts w:ascii="Times New Roman" w:hAnsi="Times New Roman" w:cs="Times New Roman"/>
                <w:sz w:val="26"/>
                <w:szCs w:val="26"/>
              </w:rPr>
              <w:t>115,61</w:t>
            </w:r>
          </w:p>
        </w:tc>
        <w:tc>
          <w:tcPr>
            <w:tcW w:w="1336" w:type="dxa"/>
            <w:vAlign w:val="center"/>
          </w:tcPr>
          <w:p w:rsidR="009A6385" w:rsidRPr="00922F41" w:rsidRDefault="009A6385" w:rsidP="00922F41">
            <w:pPr>
              <w:jc w:val="right"/>
              <w:rPr>
                <w:rFonts w:ascii="Times New Roman" w:hAnsi="Times New Roman" w:cs="Times New Roman"/>
                <w:sz w:val="26"/>
                <w:szCs w:val="26"/>
              </w:rPr>
            </w:pPr>
            <w:r w:rsidRPr="00922F41">
              <w:rPr>
                <w:rFonts w:ascii="Times New Roman" w:hAnsi="Times New Roman" w:cs="Times New Roman"/>
                <w:sz w:val="26"/>
                <w:szCs w:val="26"/>
              </w:rPr>
              <w:t>78,16</w:t>
            </w:r>
          </w:p>
        </w:tc>
        <w:tc>
          <w:tcPr>
            <w:tcW w:w="1216" w:type="dxa"/>
            <w:vAlign w:val="center"/>
          </w:tcPr>
          <w:p w:rsidR="009A6385" w:rsidRPr="00922F41" w:rsidRDefault="009A6385" w:rsidP="00922F41">
            <w:pPr>
              <w:jc w:val="right"/>
              <w:rPr>
                <w:rFonts w:ascii="Times New Roman" w:hAnsi="Times New Roman" w:cs="Times New Roman"/>
                <w:sz w:val="26"/>
                <w:szCs w:val="26"/>
              </w:rPr>
            </w:pPr>
            <w:r w:rsidRPr="00922F41">
              <w:rPr>
                <w:rFonts w:ascii="Times New Roman" w:hAnsi="Times New Roman" w:cs="Times New Roman"/>
                <w:sz w:val="26"/>
                <w:szCs w:val="26"/>
              </w:rPr>
              <w:t>-1.664</w:t>
            </w:r>
          </w:p>
        </w:tc>
      </w:tr>
    </w:tbl>
    <w:p w:rsidR="009A6385" w:rsidRPr="00922F41" w:rsidRDefault="009A6385" w:rsidP="00922F41">
      <w:pPr>
        <w:spacing w:before="120" w:after="120"/>
        <w:ind w:firstLine="720"/>
        <w:rPr>
          <w:rFonts w:ascii="Times New Roman" w:hAnsi="Times New Roman" w:cs="Times New Roman"/>
          <w:i/>
          <w:sz w:val="26"/>
          <w:szCs w:val="26"/>
        </w:rPr>
      </w:pPr>
      <w:r w:rsidRPr="00922F41">
        <w:rPr>
          <w:rFonts w:ascii="Times New Roman" w:hAnsi="Times New Roman" w:cs="Times New Roman"/>
          <w:i/>
          <w:sz w:val="26"/>
          <w:szCs w:val="26"/>
        </w:rPr>
        <w:t>Ghi chú năm 2014: Chi phí của cả khối VNPT An Giang (chưa tách Trung tâm Kinh doanh).</w:t>
      </w:r>
    </w:p>
    <w:p w:rsidR="009A6385" w:rsidRPr="00922F41" w:rsidRDefault="009A6385" w:rsidP="00F918C8">
      <w:pPr>
        <w:spacing w:after="0"/>
        <w:ind w:firstLine="720"/>
        <w:rPr>
          <w:rFonts w:ascii="Times New Roman" w:hAnsi="Times New Roman" w:cs="Times New Roman"/>
          <w:b/>
          <w:sz w:val="26"/>
          <w:szCs w:val="26"/>
        </w:rPr>
      </w:pPr>
      <w:r w:rsidRPr="00922F41">
        <w:rPr>
          <w:rFonts w:ascii="Times New Roman" w:hAnsi="Times New Roman" w:cs="Times New Roman"/>
          <w:b/>
          <w:sz w:val="26"/>
          <w:szCs w:val="26"/>
        </w:rPr>
        <w:t>Nhận xét chung:</w:t>
      </w:r>
    </w:p>
    <w:p w:rsidR="009A6385" w:rsidRPr="00922F41" w:rsidRDefault="009A6385" w:rsidP="00922F41">
      <w:pPr>
        <w:spacing w:after="120"/>
        <w:ind w:firstLine="720"/>
        <w:jc w:val="both"/>
        <w:rPr>
          <w:rFonts w:ascii="Times New Roman" w:hAnsi="Times New Roman" w:cs="Times New Roman"/>
          <w:sz w:val="26"/>
          <w:szCs w:val="26"/>
        </w:rPr>
      </w:pPr>
      <w:r w:rsidRPr="00922F41">
        <w:rPr>
          <w:rFonts w:ascii="Times New Roman" w:hAnsi="Times New Roman" w:cs="Times New Roman"/>
          <w:sz w:val="26"/>
          <w:szCs w:val="26"/>
        </w:rPr>
        <w:t>Các khoản chi dự kiến vượt kế hoạch do các nguyên nhân sau:</w:t>
      </w:r>
    </w:p>
    <w:p w:rsidR="009A6385" w:rsidRPr="00922F41" w:rsidRDefault="009A6385" w:rsidP="00922F41">
      <w:pPr>
        <w:spacing w:after="120"/>
        <w:ind w:firstLine="720"/>
        <w:jc w:val="both"/>
        <w:rPr>
          <w:rFonts w:ascii="Times New Roman" w:hAnsi="Times New Roman" w:cs="Times New Roman"/>
          <w:sz w:val="26"/>
          <w:szCs w:val="26"/>
        </w:rPr>
      </w:pPr>
      <w:r w:rsidRPr="00922F41">
        <w:rPr>
          <w:rFonts w:ascii="Times New Roman" w:hAnsi="Times New Roman" w:cs="Times New Roman"/>
          <w:sz w:val="26"/>
          <w:szCs w:val="26"/>
        </w:rPr>
        <w:t>- Khấu hao TSCĐ: do nhận thêm dự án hoàn thành Tập đoàn thông báo.</w:t>
      </w:r>
    </w:p>
    <w:p w:rsidR="009A6385" w:rsidRPr="00922F41" w:rsidRDefault="009A6385" w:rsidP="00922F41">
      <w:pPr>
        <w:spacing w:after="120"/>
        <w:ind w:firstLine="720"/>
        <w:jc w:val="both"/>
        <w:rPr>
          <w:rFonts w:ascii="Times New Roman" w:hAnsi="Times New Roman" w:cs="Times New Roman"/>
          <w:sz w:val="26"/>
          <w:szCs w:val="26"/>
        </w:rPr>
      </w:pPr>
      <w:r w:rsidRPr="00922F41">
        <w:rPr>
          <w:rFonts w:ascii="Times New Roman" w:hAnsi="Times New Roman" w:cs="Times New Roman"/>
          <w:sz w:val="26"/>
          <w:szCs w:val="26"/>
        </w:rPr>
        <w:t>- Lao động: vượt 104,35%</w:t>
      </w:r>
      <w:r w:rsidR="00C639A9">
        <w:rPr>
          <w:rFonts w:ascii="Times New Roman" w:hAnsi="Times New Roman" w:cs="Times New Roman"/>
          <w:sz w:val="26"/>
          <w:szCs w:val="26"/>
        </w:rPr>
        <w:t>, trong đó tiền lương thực hiện 103,38% (do tính thêm phần tiền lương làm thêm giờ 1.453</w:t>
      </w:r>
      <w:r w:rsidRPr="00922F41">
        <w:rPr>
          <w:rFonts w:ascii="Times New Roman" w:hAnsi="Times New Roman" w:cs="Times New Roman"/>
          <w:sz w:val="26"/>
          <w:szCs w:val="26"/>
        </w:rPr>
        <w:t xml:space="preserve"> triệu đồng được hạch toán vào chi phí); vượt chi phí liên quan tới </w:t>
      </w:r>
      <w:proofErr w:type="gramStart"/>
      <w:r w:rsidRPr="00922F41">
        <w:rPr>
          <w:rFonts w:ascii="Times New Roman" w:hAnsi="Times New Roman" w:cs="Times New Roman"/>
          <w:sz w:val="26"/>
          <w:szCs w:val="26"/>
        </w:rPr>
        <w:t>BHLĐ(</w:t>
      </w:r>
      <w:proofErr w:type="gramEnd"/>
      <w:r w:rsidRPr="00922F41">
        <w:rPr>
          <w:rFonts w:ascii="Times New Roman" w:hAnsi="Times New Roman" w:cs="Times New Roman"/>
          <w:sz w:val="26"/>
          <w:szCs w:val="26"/>
        </w:rPr>
        <w:t>do điều phần chi phí BHLĐ khác được hạch toán vào chi phí thường xuyên khác 436 triệu đồng);</w:t>
      </w:r>
    </w:p>
    <w:p w:rsidR="009A6385" w:rsidRPr="00922F41" w:rsidRDefault="009A6385" w:rsidP="00922F41">
      <w:pPr>
        <w:spacing w:after="120"/>
        <w:ind w:firstLine="720"/>
        <w:jc w:val="both"/>
        <w:rPr>
          <w:rFonts w:ascii="Times New Roman" w:hAnsi="Times New Roman" w:cs="Times New Roman"/>
          <w:sz w:val="26"/>
          <w:szCs w:val="26"/>
        </w:rPr>
      </w:pPr>
      <w:r w:rsidRPr="00922F41">
        <w:rPr>
          <w:rFonts w:ascii="Times New Roman" w:hAnsi="Times New Roman" w:cs="Times New Roman"/>
          <w:sz w:val="26"/>
          <w:szCs w:val="26"/>
        </w:rPr>
        <w:t>- Phân bổ thiết bị đầu cuối vượt 112,56%; nguyên vật liệu vượt 152,06% do thực hiện dự án chuyển đổi đồng quang theo công văn 5208/VNPT-KHĐT của Tập đoàn;</w:t>
      </w:r>
    </w:p>
    <w:p w:rsidR="009A6385" w:rsidRPr="00922F41" w:rsidRDefault="009A6385" w:rsidP="00922F41">
      <w:pPr>
        <w:spacing w:after="120"/>
        <w:ind w:firstLine="720"/>
        <w:jc w:val="both"/>
        <w:rPr>
          <w:rFonts w:ascii="Times New Roman" w:hAnsi="Times New Roman" w:cs="Times New Roman"/>
          <w:sz w:val="26"/>
          <w:szCs w:val="26"/>
        </w:rPr>
      </w:pPr>
      <w:r w:rsidRPr="00922F41">
        <w:rPr>
          <w:rFonts w:ascii="Times New Roman" w:hAnsi="Times New Roman" w:cs="Times New Roman"/>
          <w:sz w:val="26"/>
          <w:szCs w:val="26"/>
        </w:rPr>
        <w:t>- Chi phí thường xuyên khác vượt 117,39%: chi phí thường xuyên khác tăng đột biến do bao gồm khoản giá vốn hàng hóa cho biếu tặng để thực hiện các hoạt động khuyến mại, CSKH tại đơn vị; ngoài ra do chi phí thuê máy phát điện cho 85 trạm BTS tăng thêm của dự án 2014-2015 và chi nhân công 91 người kéo dây cáp phục vụ đợt phát triển Fiber VNN, MyTV theo công văn 5208/VNPT-KHĐT;</w:t>
      </w:r>
    </w:p>
    <w:p w:rsidR="009A6385" w:rsidRDefault="009A6385" w:rsidP="00922F41">
      <w:pPr>
        <w:spacing w:after="120"/>
        <w:ind w:firstLine="720"/>
        <w:jc w:val="both"/>
        <w:rPr>
          <w:rFonts w:ascii="Times New Roman" w:hAnsi="Times New Roman" w:cs="Times New Roman"/>
          <w:sz w:val="26"/>
          <w:szCs w:val="26"/>
        </w:rPr>
      </w:pPr>
      <w:r w:rsidRPr="00922F41">
        <w:rPr>
          <w:rFonts w:ascii="Times New Roman" w:hAnsi="Times New Roman" w:cs="Times New Roman"/>
          <w:sz w:val="26"/>
          <w:szCs w:val="26"/>
        </w:rPr>
        <w:t>- Chi phí QC, KM vượt 115,61% do khi báo cáo 9 tháng chưa ghi nhận hết phần chi của TTKD khi bóc tách và khuyến mại STB – dịch vụ MyTV theo CV 5208.</w:t>
      </w:r>
    </w:p>
    <w:p w:rsidR="00922F41" w:rsidRPr="00922F41" w:rsidRDefault="00922F41" w:rsidP="00922F41">
      <w:pPr>
        <w:spacing w:after="120"/>
        <w:ind w:firstLine="720"/>
        <w:rPr>
          <w:rFonts w:ascii="Times New Roman" w:hAnsi="Times New Roman" w:cs="Times New Roman"/>
          <w:b/>
          <w:sz w:val="26"/>
          <w:szCs w:val="26"/>
        </w:rPr>
      </w:pPr>
      <w:r w:rsidRPr="00922F41">
        <w:rPr>
          <w:rFonts w:ascii="Times New Roman" w:hAnsi="Times New Roman" w:cs="Times New Roman"/>
          <w:b/>
          <w:sz w:val="26"/>
          <w:szCs w:val="26"/>
        </w:rPr>
        <w:t>3. Chỉ tiêu kết quả SXKD của Trung tâm Kinh doanh</w:t>
      </w:r>
    </w:p>
    <w:p w:rsidR="00922F41" w:rsidRDefault="00922F41" w:rsidP="002C65C3">
      <w:pPr>
        <w:spacing w:after="120"/>
        <w:ind w:firstLine="720"/>
        <w:jc w:val="both"/>
        <w:rPr>
          <w:rFonts w:ascii="Times New Roman" w:hAnsi="Times New Roman" w:cs="Times New Roman"/>
          <w:sz w:val="26"/>
          <w:szCs w:val="26"/>
        </w:rPr>
      </w:pPr>
      <w:r w:rsidRPr="00922F41">
        <w:rPr>
          <w:rFonts w:ascii="Times New Roman" w:hAnsi="Times New Roman" w:cs="Times New Roman"/>
          <w:b/>
          <w:i/>
          <w:sz w:val="26"/>
          <w:szCs w:val="26"/>
        </w:rPr>
        <w:t>- Chênh lệch thu chi:</w:t>
      </w:r>
      <w:r>
        <w:rPr>
          <w:rFonts w:ascii="Times New Roman" w:hAnsi="Times New Roman" w:cs="Times New Roman"/>
          <w:sz w:val="26"/>
          <w:szCs w:val="26"/>
        </w:rPr>
        <w:t xml:space="preserve"> Dự kiến đạt -591 triệu đồng, bằng -17,96% so với kế hoạch quý; trong đố chênh lệch hoạt động VT-CNTT đạt -370 triệu đồng, bằng -11,78% so với kế hoạch quý. Chênh lệch thu chi không hoàn thành kế hoạch do: địa bàn không đạt tốc độ tăng trưởng doanh thu theo mức được giao.</w:t>
      </w:r>
    </w:p>
    <w:p w:rsidR="00922F41" w:rsidRPr="00922F41" w:rsidRDefault="00922F41" w:rsidP="002C65C3">
      <w:pPr>
        <w:spacing w:after="120"/>
        <w:ind w:firstLine="720"/>
        <w:jc w:val="both"/>
        <w:rPr>
          <w:rFonts w:ascii="Times New Roman" w:hAnsi="Times New Roman" w:cs="Times New Roman"/>
          <w:b/>
          <w:i/>
          <w:sz w:val="26"/>
          <w:szCs w:val="26"/>
        </w:rPr>
      </w:pPr>
      <w:r w:rsidRPr="00922F41">
        <w:rPr>
          <w:rFonts w:ascii="Times New Roman" w:hAnsi="Times New Roman" w:cs="Times New Roman"/>
          <w:b/>
          <w:i/>
          <w:sz w:val="26"/>
          <w:szCs w:val="26"/>
        </w:rPr>
        <w:t>- Doanh thu đơn vị (tách Trung tâm kinh doanh từ tháng 10/2015):</w:t>
      </w:r>
    </w:p>
    <w:tbl>
      <w:tblPr>
        <w:tblStyle w:val="TableGrid"/>
        <w:tblW w:w="9284" w:type="dxa"/>
        <w:tblLook w:val="04A0" w:firstRow="1" w:lastRow="0" w:firstColumn="1" w:lastColumn="0" w:noHBand="0" w:noVBand="1"/>
      </w:tblPr>
      <w:tblGrid>
        <w:gridCol w:w="4815"/>
        <w:gridCol w:w="1559"/>
        <w:gridCol w:w="1418"/>
        <w:gridCol w:w="1492"/>
      </w:tblGrid>
      <w:tr w:rsidR="00922F41" w:rsidRPr="00922F41" w:rsidTr="00F918C8">
        <w:trPr>
          <w:trHeight w:val="423"/>
        </w:trPr>
        <w:tc>
          <w:tcPr>
            <w:tcW w:w="4815" w:type="dxa"/>
            <w:vAlign w:val="center"/>
          </w:tcPr>
          <w:p w:rsidR="00922F41" w:rsidRPr="00922F41" w:rsidRDefault="00922F41" w:rsidP="00922F41">
            <w:pPr>
              <w:spacing w:after="120"/>
              <w:jc w:val="center"/>
              <w:rPr>
                <w:rFonts w:ascii="Times New Roman" w:hAnsi="Times New Roman" w:cs="Times New Roman"/>
                <w:b/>
                <w:sz w:val="26"/>
                <w:szCs w:val="26"/>
              </w:rPr>
            </w:pPr>
            <w:r w:rsidRPr="00922F41">
              <w:rPr>
                <w:rFonts w:ascii="Times New Roman" w:hAnsi="Times New Roman" w:cs="Times New Roman"/>
                <w:b/>
                <w:sz w:val="26"/>
                <w:szCs w:val="26"/>
              </w:rPr>
              <w:t>Tên chỉ tiêu</w:t>
            </w:r>
          </w:p>
        </w:tc>
        <w:tc>
          <w:tcPr>
            <w:tcW w:w="1559" w:type="dxa"/>
            <w:vAlign w:val="center"/>
          </w:tcPr>
          <w:p w:rsidR="00922F41" w:rsidRPr="00922F41" w:rsidRDefault="00922F41" w:rsidP="00922F41">
            <w:pPr>
              <w:spacing w:after="120"/>
              <w:jc w:val="center"/>
              <w:rPr>
                <w:rFonts w:ascii="Times New Roman" w:hAnsi="Times New Roman" w:cs="Times New Roman"/>
                <w:b/>
                <w:sz w:val="26"/>
                <w:szCs w:val="26"/>
              </w:rPr>
            </w:pPr>
            <w:r w:rsidRPr="00922F41">
              <w:rPr>
                <w:rFonts w:ascii="Times New Roman" w:hAnsi="Times New Roman" w:cs="Times New Roman"/>
                <w:b/>
                <w:sz w:val="26"/>
                <w:szCs w:val="26"/>
              </w:rPr>
              <w:t>KH 2015</w:t>
            </w:r>
          </w:p>
        </w:tc>
        <w:tc>
          <w:tcPr>
            <w:tcW w:w="1418" w:type="dxa"/>
            <w:vAlign w:val="center"/>
          </w:tcPr>
          <w:p w:rsidR="00922F41" w:rsidRPr="00922F41" w:rsidRDefault="00922F41" w:rsidP="00922F41">
            <w:pPr>
              <w:spacing w:after="120"/>
              <w:jc w:val="center"/>
              <w:rPr>
                <w:rFonts w:ascii="Times New Roman" w:hAnsi="Times New Roman" w:cs="Times New Roman"/>
                <w:b/>
                <w:sz w:val="26"/>
                <w:szCs w:val="26"/>
              </w:rPr>
            </w:pPr>
            <w:r w:rsidRPr="00922F41">
              <w:rPr>
                <w:rFonts w:ascii="Times New Roman" w:hAnsi="Times New Roman" w:cs="Times New Roman"/>
                <w:b/>
                <w:sz w:val="26"/>
                <w:szCs w:val="26"/>
              </w:rPr>
              <w:t>TH 2015</w:t>
            </w:r>
          </w:p>
        </w:tc>
        <w:tc>
          <w:tcPr>
            <w:tcW w:w="1492" w:type="dxa"/>
            <w:vAlign w:val="center"/>
          </w:tcPr>
          <w:p w:rsidR="00922F41" w:rsidRPr="00922F41" w:rsidRDefault="00922F41" w:rsidP="00922F41">
            <w:pPr>
              <w:spacing w:after="120"/>
              <w:jc w:val="center"/>
              <w:rPr>
                <w:rFonts w:ascii="Times New Roman" w:hAnsi="Times New Roman" w:cs="Times New Roman"/>
                <w:b/>
                <w:sz w:val="26"/>
                <w:szCs w:val="26"/>
              </w:rPr>
            </w:pPr>
            <w:r w:rsidRPr="00922F41">
              <w:rPr>
                <w:rFonts w:ascii="Times New Roman" w:hAnsi="Times New Roman" w:cs="Times New Roman"/>
                <w:b/>
                <w:sz w:val="26"/>
                <w:szCs w:val="26"/>
              </w:rPr>
              <w:t>% so KH</w:t>
            </w:r>
          </w:p>
        </w:tc>
      </w:tr>
      <w:tr w:rsidR="00922F41" w:rsidTr="00F918C8">
        <w:trPr>
          <w:trHeight w:val="327"/>
        </w:trPr>
        <w:tc>
          <w:tcPr>
            <w:tcW w:w="4815" w:type="dxa"/>
            <w:vAlign w:val="center"/>
          </w:tcPr>
          <w:p w:rsidR="00922F41" w:rsidRDefault="00922F41" w:rsidP="00922F41">
            <w:pPr>
              <w:spacing w:after="120"/>
              <w:rPr>
                <w:rFonts w:ascii="Times New Roman" w:hAnsi="Times New Roman" w:cs="Times New Roman"/>
                <w:sz w:val="26"/>
                <w:szCs w:val="26"/>
              </w:rPr>
            </w:pPr>
            <w:r>
              <w:rPr>
                <w:rFonts w:ascii="Times New Roman" w:hAnsi="Times New Roman" w:cs="Times New Roman"/>
                <w:sz w:val="26"/>
                <w:szCs w:val="26"/>
              </w:rPr>
              <w:t>Doanh thu VTCNTT</w:t>
            </w:r>
          </w:p>
        </w:tc>
        <w:tc>
          <w:tcPr>
            <w:tcW w:w="1559"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196.034</w:t>
            </w:r>
          </w:p>
        </w:tc>
        <w:tc>
          <w:tcPr>
            <w:tcW w:w="1418"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144.354</w:t>
            </w:r>
          </w:p>
        </w:tc>
        <w:tc>
          <w:tcPr>
            <w:tcW w:w="1492"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73,64</w:t>
            </w:r>
          </w:p>
        </w:tc>
      </w:tr>
      <w:tr w:rsidR="00922F41" w:rsidTr="00F918C8">
        <w:trPr>
          <w:trHeight w:val="423"/>
        </w:trPr>
        <w:tc>
          <w:tcPr>
            <w:tcW w:w="4815" w:type="dxa"/>
            <w:vAlign w:val="center"/>
          </w:tcPr>
          <w:p w:rsidR="00922F41" w:rsidRDefault="00922F41" w:rsidP="00922F41">
            <w:pPr>
              <w:spacing w:after="120"/>
              <w:rPr>
                <w:rFonts w:ascii="Times New Roman" w:hAnsi="Times New Roman" w:cs="Times New Roman"/>
                <w:sz w:val="26"/>
                <w:szCs w:val="26"/>
              </w:rPr>
            </w:pPr>
            <w:r>
              <w:rPr>
                <w:rFonts w:ascii="Times New Roman" w:hAnsi="Times New Roman" w:cs="Times New Roman"/>
                <w:sz w:val="26"/>
                <w:szCs w:val="26"/>
              </w:rPr>
              <w:t>Doanh thu khách hàng</w:t>
            </w:r>
          </w:p>
        </w:tc>
        <w:tc>
          <w:tcPr>
            <w:tcW w:w="1559"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58.468</w:t>
            </w:r>
          </w:p>
        </w:tc>
        <w:tc>
          <w:tcPr>
            <w:tcW w:w="1418"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49.931</w:t>
            </w:r>
          </w:p>
        </w:tc>
        <w:tc>
          <w:tcPr>
            <w:tcW w:w="1492"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85,40</w:t>
            </w:r>
          </w:p>
        </w:tc>
      </w:tr>
      <w:tr w:rsidR="00922F41" w:rsidTr="00F918C8">
        <w:trPr>
          <w:trHeight w:val="408"/>
        </w:trPr>
        <w:tc>
          <w:tcPr>
            <w:tcW w:w="4815" w:type="dxa"/>
            <w:vAlign w:val="center"/>
          </w:tcPr>
          <w:p w:rsidR="00922F41" w:rsidRDefault="00922F41" w:rsidP="00922F41">
            <w:pPr>
              <w:spacing w:after="120"/>
              <w:rPr>
                <w:rFonts w:ascii="Times New Roman" w:hAnsi="Times New Roman" w:cs="Times New Roman"/>
                <w:sz w:val="26"/>
                <w:szCs w:val="26"/>
              </w:rPr>
            </w:pPr>
            <w:r>
              <w:rPr>
                <w:rFonts w:ascii="Times New Roman" w:hAnsi="Times New Roman" w:cs="Times New Roman"/>
                <w:sz w:val="26"/>
                <w:szCs w:val="26"/>
              </w:rPr>
              <w:t>Doanh thu phối hợp kinh doanh</w:t>
            </w:r>
          </w:p>
        </w:tc>
        <w:tc>
          <w:tcPr>
            <w:tcW w:w="1559"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17.458</w:t>
            </w:r>
          </w:p>
        </w:tc>
        <w:tc>
          <w:tcPr>
            <w:tcW w:w="1418"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10.426</w:t>
            </w:r>
          </w:p>
        </w:tc>
        <w:tc>
          <w:tcPr>
            <w:tcW w:w="1492" w:type="dxa"/>
            <w:vAlign w:val="center"/>
          </w:tcPr>
          <w:p w:rsidR="00922F41" w:rsidRDefault="00922F41" w:rsidP="00922F41">
            <w:pPr>
              <w:spacing w:after="120"/>
              <w:jc w:val="right"/>
              <w:rPr>
                <w:rFonts w:ascii="Times New Roman" w:hAnsi="Times New Roman" w:cs="Times New Roman"/>
                <w:sz w:val="26"/>
                <w:szCs w:val="26"/>
              </w:rPr>
            </w:pPr>
            <w:r>
              <w:rPr>
                <w:rFonts w:ascii="Times New Roman" w:hAnsi="Times New Roman" w:cs="Times New Roman"/>
                <w:sz w:val="26"/>
                <w:szCs w:val="26"/>
              </w:rPr>
              <w:t>59,72</w:t>
            </w:r>
          </w:p>
        </w:tc>
      </w:tr>
    </w:tbl>
    <w:p w:rsidR="009A6385" w:rsidRDefault="00922F41" w:rsidP="00922F41">
      <w:pPr>
        <w:spacing w:after="120"/>
        <w:rPr>
          <w:rFonts w:ascii="Times New Roman" w:hAnsi="Times New Roman" w:cs="Times New Roman"/>
          <w:sz w:val="26"/>
          <w:szCs w:val="26"/>
        </w:rPr>
      </w:pPr>
      <w:r w:rsidRPr="00922F41">
        <w:rPr>
          <w:rFonts w:ascii="Times New Roman" w:hAnsi="Times New Roman" w:cs="Times New Roman"/>
          <w:sz w:val="26"/>
          <w:szCs w:val="26"/>
        </w:rPr>
        <w:tab/>
      </w:r>
      <w:r>
        <w:rPr>
          <w:rFonts w:ascii="Times New Roman" w:hAnsi="Times New Roman" w:cs="Times New Roman"/>
          <w:sz w:val="26"/>
          <w:szCs w:val="26"/>
        </w:rPr>
        <w:t>- Chi phí thực hiện: Dự kiến năm 2015 thực hiện: 19.485 triệu đồng bằng 86,62% KH.</w:t>
      </w:r>
    </w:p>
    <w:p w:rsidR="00922F41" w:rsidRDefault="00922F41" w:rsidP="00922F41">
      <w:pPr>
        <w:spacing w:after="120"/>
        <w:rPr>
          <w:rFonts w:ascii="Times New Roman" w:hAnsi="Times New Roman" w:cs="Times New Roman"/>
          <w:b/>
          <w:sz w:val="26"/>
          <w:szCs w:val="26"/>
        </w:rPr>
      </w:pPr>
      <w:r>
        <w:rPr>
          <w:rFonts w:ascii="Times New Roman" w:hAnsi="Times New Roman" w:cs="Times New Roman"/>
          <w:sz w:val="26"/>
          <w:szCs w:val="26"/>
        </w:rPr>
        <w:tab/>
        <w:t>I</w:t>
      </w:r>
      <w:r w:rsidRPr="00C639A9">
        <w:rPr>
          <w:rFonts w:ascii="Times New Roman" w:hAnsi="Times New Roman" w:cs="Times New Roman"/>
          <w:b/>
          <w:sz w:val="26"/>
          <w:szCs w:val="26"/>
        </w:rPr>
        <w:t>II. Kết quả thực hiện kế hoạch đầu tư năm 2015:</w:t>
      </w:r>
    </w:p>
    <w:p w:rsidR="00C639A9" w:rsidRDefault="00C639A9" w:rsidP="002C65C3">
      <w:pPr>
        <w:spacing w:after="120"/>
        <w:jc w:val="both"/>
        <w:rPr>
          <w:rFonts w:ascii="Times New Roman" w:hAnsi="Times New Roman" w:cs="Times New Roman"/>
          <w:sz w:val="26"/>
          <w:szCs w:val="26"/>
        </w:rPr>
      </w:pPr>
      <w:r>
        <w:rPr>
          <w:rFonts w:ascii="Times New Roman" w:hAnsi="Times New Roman" w:cs="Times New Roman"/>
          <w:sz w:val="26"/>
          <w:szCs w:val="26"/>
        </w:rPr>
        <w:tab/>
        <w:t>Tổng kế hoạch vốn do Tập đoàn giao: 37.632 triệu đồng. Các chương trình đầu tư được phân bổ vốn như sau:</w:t>
      </w:r>
    </w:p>
    <w:tbl>
      <w:tblPr>
        <w:tblStyle w:val="TableGrid"/>
        <w:tblW w:w="10154" w:type="dxa"/>
        <w:tblLook w:val="04A0" w:firstRow="1" w:lastRow="0" w:firstColumn="1" w:lastColumn="0" w:noHBand="0" w:noVBand="1"/>
      </w:tblPr>
      <w:tblGrid>
        <w:gridCol w:w="700"/>
        <w:gridCol w:w="2312"/>
        <w:gridCol w:w="1154"/>
        <w:gridCol w:w="1081"/>
        <w:gridCol w:w="1164"/>
        <w:gridCol w:w="1351"/>
        <w:gridCol w:w="1164"/>
        <w:gridCol w:w="1228"/>
      </w:tblGrid>
      <w:tr w:rsidR="00C639A9" w:rsidTr="002C65C3">
        <w:trPr>
          <w:trHeight w:val="1861"/>
        </w:trPr>
        <w:tc>
          <w:tcPr>
            <w:tcW w:w="701"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lastRenderedPageBreak/>
              <w:t>TT</w:t>
            </w:r>
          </w:p>
        </w:tc>
        <w:tc>
          <w:tcPr>
            <w:tcW w:w="231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Tên chương trình đầu tư</w:t>
            </w:r>
          </w:p>
        </w:tc>
        <w:tc>
          <w:tcPr>
            <w:tcW w:w="115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Tổng vốn dự kiến phân bổ</w:t>
            </w:r>
          </w:p>
        </w:tc>
        <w:tc>
          <w:tcPr>
            <w:tcW w:w="1081"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KHV đã bố trí</w:t>
            </w:r>
          </w:p>
        </w:tc>
        <w:tc>
          <w:tcPr>
            <w:tcW w:w="116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KL thực hiện đến 31/12/15</w:t>
            </w:r>
          </w:p>
        </w:tc>
        <w:tc>
          <w:tcPr>
            <w:tcW w:w="1352"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Giá trị giải ngân dự kiến đến hết năm kế hoạch</w:t>
            </w:r>
          </w:p>
        </w:tc>
        <w:tc>
          <w:tcPr>
            <w:tcW w:w="116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Giá trị giải ngân tính đến 31/12/15</w:t>
            </w:r>
          </w:p>
        </w:tc>
        <w:tc>
          <w:tcPr>
            <w:tcW w:w="122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 giải ngân so với KHV đã bố trí (tính đến 30/12/15)</w:t>
            </w:r>
          </w:p>
        </w:tc>
      </w:tr>
      <w:tr w:rsidR="00C639A9" w:rsidTr="002C65C3">
        <w:trPr>
          <w:trHeight w:val="703"/>
        </w:trPr>
        <w:tc>
          <w:tcPr>
            <w:tcW w:w="70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1</w:t>
            </w:r>
          </w:p>
        </w:tc>
        <w:tc>
          <w:tcPr>
            <w:tcW w:w="2314" w:type="dxa"/>
            <w:vAlign w:val="center"/>
          </w:tcPr>
          <w:p w:rsidR="00C639A9" w:rsidRDefault="00C639A9" w:rsidP="00C639A9">
            <w:pPr>
              <w:spacing w:after="120"/>
              <w:rPr>
                <w:rFonts w:ascii="Times New Roman" w:hAnsi="Times New Roman" w:cs="Times New Roman"/>
                <w:sz w:val="26"/>
                <w:szCs w:val="26"/>
              </w:rPr>
            </w:pPr>
            <w:r>
              <w:rPr>
                <w:rFonts w:ascii="Times New Roman" w:hAnsi="Times New Roman" w:cs="Times New Roman"/>
                <w:sz w:val="26"/>
                <w:szCs w:val="26"/>
              </w:rPr>
              <w:t>Cơ sở hạ tầng di động</w:t>
            </w:r>
          </w:p>
        </w:tc>
        <w:tc>
          <w:tcPr>
            <w:tcW w:w="115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4.337</w:t>
            </w:r>
          </w:p>
        </w:tc>
        <w:tc>
          <w:tcPr>
            <w:tcW w:w="108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4.337</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4.337</w:t>
            </w:r>
          </w:p>
        </w:tc>
        <w:tc>
          <w:tcPr>
            <w:tcW w:w="1352"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4.337</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2084</w:t>
            </w:r>
          </w:p>
        </w:tc>
        <w:tc>
          <w:tcPr>
            <w:tcW w:w="122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48</w:t>
            </w:r>
          </w:p>
        </w:tc>
      </w:tr>
      <w:tr w:rsidR="00C639A9" w:rsidTr="002C65C3">
        <w:trPr>
          <w:trHeight w:val="395"/>
        </w:trPr>
        <w:tc>
          <w:tcPr>
            <w:tcW w:w="70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w:t>
            </w:r>
          </w:p>
        </w:tc>
        <w:tc>
          <w:tcPr>
            <w:tcW w:w="2314" w:type="dxa"/>
            <w:vAlign w:val="center"/>
          </w:tcPr>
          <w:p w:rsidR="00C639A9" w:rsidRDefault="00C639A9" w:rsidP="00C639A9">
            <w:pPr>
              <w:spacing w:after="120"/>
              <w:rPr>
                <w:rFonts w:ascii="Times New Roman" w:hAnsi="Times New Roman" w:cs="Times New Roman"/>
                <w:sz w:val="26"/>
                <w:szCs w:val="26"/>
              </w:rPr>
            </w:pPr>
            <w:r>
              <w:rPr>
                <w:rFonts w:ascii="Times New Roman" w:hAnsi="Times New Roman" w:cs="Times New Roman"/>
                <w:sz w:val="26"/>
                <w:szCs w:val="26"/>
              </w:rPr>
              <w:t>Mạng băng rộng</w:t>
            </w:r>
          </w:p>
        </w:tc>
        <w:tc>
          <w:tcPr>
            <w:tcW w:w="115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27.960</w:t>
            </w:r>
          </w:p>
        </w:tc>
        <w:tc>
          <w:tcPr>
            <w:tcW w:w="108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27.960</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27.960</w:t>
            </w:r>
          </w:p>
        </w:tc>
        <w:tc>
          <w:tcPr>
            <w:tcW w:w="1352"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27.960</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10.836</w:t>
            </w:r>
          </w:p>
        </w:tc>
        <w:tc>
          <w:tcPr>
            <w:tcW w:w="122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39</w:t>
            </w:r>
          </w:p>
        </w:tc>
      </w:tr>
      <w:tr w:rsidR="00C639A9" w:rsidTr="002C65C3">
        <w:trPr>
          <w:trHeight w:val="410"/>
        </w:trPr>
        <w:tc>
          <w:tcPr>
            <w:tcW w:w="70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3</w:t>
            </w:r>
          </w:p>
        </w:tc>
        <w:tc>
          <w:tcPr>
            <w:tcW w:w="2314" w:type="dxa"/>
            <w:vAlign w:val="center"/>
          </w:tcPr>
          <w:p w:rsidR="00C639A9" w:rsidRDefault="00C639A9" w:rsidP="00C639A9">
            <w:pPr>
              <w:spacing w:after="120"/>
              <w:rPr>
                <w:rFonts w:ascii="Times New Roman" w:hAnsi="Times New Roman" w:cs="Times New Roman"/>
                <w:sz w:val="26"/>
                <w:szCs w:val="26"/>
              </w:rPr>
            </w:pPr>
            <w:r>
              <w:rPr>
                <w:rFonts w:ascii="Times New Roman" w:hAnsi="Times New Roman" w:cs="Times New Roman"/>
                <w:sz w:val="26"/>
                <w:szCs w:val="26"/>
              </w:rPr>
              <w:t>Khu CN&amp;ĐT mới</w:t>
            </w:r>
          </w:p>
        </w:tc>
        <w:tc>
          <w:tcPr>
            <w:tcW w:w="1154" w:type="dxa"/>
            <w:vAlign w:val="center"/>
          </w:tcPr>
          <w:p w:rsidR="00C639A9" w:rsidRDefault="00C639A9" w:rsidP="00C639A9">
            <w:pPr>
              <w:spacing w:after="120"/>
              <w:jc w:val="center"/>
              <w:rPr>
                <w:rFonts w:ascii="Times New Roman" w:hAnsi="Times New Roman" w:cs="Times New Roman"/>
                <w:sz w:val="26"/>
                <w:szCs w:val="26"/>
              </w:rPr>
            </w:pPr>
          </w:p>
        </w:tc>
        <w:tc>
          <w:tcPr>
            <w:tcW w:w="1081" w:type="dxa"/>
            <w:vAlign w:val="center"/>
          </w:tcPr>
          <w:p w:rsidR="00C639A9" w:rsidRDefault="00C639A9" w:rsidP="00C639A9">
            <w:pPr>
              <w:spacing w:after="120"/>
              <w:jc w:val="center"/>
              <w:rPr>
                <w:rFonts w:ascii="Times New Roman" w:hAnsi="Times New Roman" w:cs="Times New Roman"/>
                <w:sz w:val="26"/>
                <w:szCs w:val="26"/>
              </w:rPr>
            </w:pPr>
          </w:p>
        </w:tc>
        <w:tc>
          <w:tcPr>
            <w:tcW w:w="1164" w:type="dxa"/>
            <w:vAlign w:val="center"/>
          </w:tcPr>
          <w:p w:rsidR="00C639A9" w:rsidRDefault="00C639A9" w:rsidP="00C639A9">
            <w:pPr>
              <w:spacing w:after="120"/>
              <w:jc w:val="center"/>
              <w:rPr>
                <w:rFonts w:ascii="Times New Roman" w:hAnsi="Times New Roman" w:cs="Times New Roman"/>
                <w:sz w:val="26"/>
                <w:szCs w:val="26"/>
              </w:rPr>
            </w:pPr>
          </w:p>
        </w:tc>
        <w:tc>
          <w:tcPr>
            <w:tcW w:w="1352" w:type="dxa"/>
            <w:vAlign w:val="center"/>
          </w:tcPr>
          <w:p w:rsidR="00C639A9" w:rsidRDefault="00C639A9" w:rsidP="00C639A9">
            <w:pPr>
              <w:spacing w:after="120"/>
              <w:jc w:val="center"/>
              <w:rPr>
                <w:rFonts w:ascii="Times New Roman" w:hAnsi="Times New Roman" w:cs="Times New Roman"/>
                <w:sz w:val="26"/>
                <w:szCs w:val="26"/>
              </w:rPr>
            </w:pP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0</w:t>
            </w:r>
          </w:p>
        </w:tc>
        <w:tc>
          <w:tcPr>
            <w:tcW w:w="122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0</w:t>
            </w:r>
          </w:p>
        </w:tc>
      </w:tr>
      <w:tr w:rsidR="00C639A9" w:rsidTr="002C65C3">
        <w:trPr>
          <w:trHeight w:val="703"/>
        </w:trPr>
        <w:tc>
          <w:tcPr>
            <w:tcW w:w="70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4</w:t>
            </w:r>
          </w:p>
        </w:tc>
        <w:tc>
          <w:tcPr>
            <w:tcW w:w="2314" w:type="dxa"/>
            <w:vAlign w:val="center"/>
          </w:tcPr>
          <w:p w:rsidR="00C639A9" w:rsidRDefault="00C639A9" w:rsidP="00C639A9">
            <w:pPr>
              <w:spacing w:after="120"/>
              <w:rPr>
                <w:rFonts w:ascii="Times New Roman" w:hAnsi="Times New Roman" w:cs="Times New Roman"/>
                <w:sz w:val="26"/>
                <w:szCs w:val="26"/>
              </w:rPr>
            </w:pPr>
            <w:r>
              <w:rPr>
                <w:rFonts w:ascii="Times New Roman" w:hAnsi="Times New Roman" w:cs="Times New Roman"/>
                <w:sz w:val="26"/>
                <w:szCs w:val="26"/>
              </w:rPr>
              <w:t>Giảm CP thường xuyên</w:t>
            </w:r>
          </w:p>
        </w:tc>
        <w:tc>
          <w:tcPr>
            <w:tcW w:w="115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2.314</w:t>
            </w:r>
          </w:p>
        </w:tc>
        <w:tc>
          <w:tcPr>
            <w:tcW w:w="108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2.314</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2.314</w:t>
            </w:r>
          </w:p>
        </w:tc>
        <w:tc>
          <w:tcPr>
            <w:tcW w:w="1352"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2.314</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2120</w:t>
            </w:r>
          </w:p>
        </w:tc>
        <w:tc>
          <w:tcPr>
            <w:tcW w:w="122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92</w:t>
            </w:r>
          </w:p>
        </w:tc>
      </w:tr>
      <w:tr w:rsidR="00C639A9" w:rsidTr="002C65C3">
        <w:trPr>
          <w:trHeight w:val="395"/>
        </w:trPr>
        <w:tc>
          <w:tcPr>
            <w:tcW w:w="70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5</w:t>
            </w:r>
          </w:p>
        </w:tc>
        <w:tc>
          <w:tcPr>
            <w:tcW w:w="2314" w:type="dxa"/>
            <w:vAlign w:val="center"/>
          </w:tcPr>
          <w:p w:rsidR="00C639A9" w:rsidRDefault="00C639A9" w:rsidP="00C639A9">
            <w:pPr>
              <w:spacing w:after="120"/>
              <w:rPr>
                <w:rFonts w:ascii="Times New Roman" w:hAnsi="Times New Roman" w:cs="Times New Roman"/>
                <w:sz w:val="26"/>
                <w:szCs w:val="26"/>
              </w:rPr>
            </w:pPr>
            <w:r>
              <w:rPr>
                <w:rFonts w:ascii="Times New Roman" w:hAnsi="Times New Roman" w:cs="Times New Roman"/>
                <w:sz w:val="26"/>
                <w:szCs w:val="26"/>
              </w:rPr>
              <w:t>Kiến trúc</w:t>
            </w:r>
          </w:p>
        </w:tc>
        <w:tc>
          <w:tcPr>
            <w:tcW w:w="1154" w:type="dxa"/>
            <w:vAlign w:val="center"/>
          </w:tcPr>
          <w:p w:rsidR="00C639A9" w:rsidRDefault="00C639A9" w:rsidP="00C639A9">
            <w:pPr>
              <w:spacing w:after="120"/>
              <w:jc w:val="center"/>
              <w:rPr>
                <w:rFonts w:ascii="Times New Roman" w:hAnsi="Times New Roman" w:cs="Times New Roman"/>
                <w:sz w:val="26"/>
                <w:szCs w:val="26"/>
              </w:rPr>
            </w:pPr>
          </w:p>
        </w:tc>
        <w:tc>
          <w:tcPr>
            <w:tcW w:w="1081" w:type="dxa"/>
            <w:vAlign w:val="center"/>
          </w:tcPr>
          <w:p w:rsidR="00C639A9" w:rsidRDefault="00C639A9" w:rsidP="00C639A9">
            <w:pPr>
              <w:spacing w:after="120"/>
              <w:jc w:val="center"/>
              <w:rPr>
                <w:rFonts w:ascii="Times New Roman" w:hAnsi="Times New Roman" w:cs="Times New Roman"/>
                <w:sz w:val="26"/>
                <w:szCs w:val="26"/>
              </w:rPr>
            </w:pPr>
          </w:p>
        </w:tc>
        <w:tc>
          <w:tcPr>
            <w:tcW w:w="1164" w:type="dxa"/>
            <w:vAlign w:val="center"/>
          </w:tcPr>
          <w:p w:rsidR="00C639A9" w:rsidRDefault="00C639A9" w:rsidP="00C639A9">
            <w:pPr>
              <w:spacing w:after="120"/>
              <w:jc w:val="center"/>
              <w:rPr>
                <w:rFonts w:ascii="Times New Roman" w:hAnsi="Times New Roman" w:cs="Times New Roman"/>
                <w:sz w:val="26"/>
                <w:szCs w:val="26"/>
              </w:rPr>
            </w:pPr>
          </w:p>
        </w:tc>
        <w:tc>
          <w:tcPr>
            <w:tcW w:w="1352" w:type="dxa"/>
            <w:vAlign w:val="center"/>
          </w:tcPr>
          <w:p w:rsidR="00C639A9" w:rsidRDefault="00C639A9" w:rsidP="00C639A9">
            <w:pPr>
              <w:spacing w:after="120"/>
              <w:jc w:val="center"/>
              <w:rPr>
                <w:rFonts w:ascii="Times New Roman" w:hAnsi="Times New Roman" w:cs="Times New Roman"/>
                <w:sz w:val="26"/>
                <w:szCs w:val="26"/>
              </w:rPr>
            </w:pP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0</w:t>
            </w:r>
          </w:p>
        </w:tc>
        <w:tc>
          <w:tcPr>
            <w:tcW w:w="122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0</w:t>
            </w:r>
          </w:p>
        </w:tc>
      </w:tr>
      <w:tr w:rsidR="00C639A9" w:rsidTr="002C65C3">
        <w:trPr>
          <w:trHeight w:val="410"/>
        </w:trPr>
        <w:tc>
          <w:tcPr>
            <w:tcW w:w="70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6</w:t>
            </w:r>
          </w:p>
        </w:tc>
        <w:tc>
          <w:tcPr>
            <w:tcW w:w="2314" w:type="dxa"/>
            <w:vAlign w:val="center"/>
          </w:tcPr>
          <w:p w:rsidR="00C639A9" w:rsidRDefault="00C639A9" w:rsidP="00C639A9">
            <w:pPr>
              <w:spacing w:after="120"/>
              <w:rPr>
                <w:rFonts w:ascii="Times New Roman" w:hAnsi="Times New Roman" w:cs="Times New Roman"/>
                <w:sz w:val="26"/>
                <w:szCs w:val="26"/>
              </w:rPr>
            </w:pPr>
            <w:r>
              <w:rPr>
                <w:rFonts w:ascii="Times New Roman" w:hAnsi="Times New Roman" w:cs="Times New Roman"/>
                <w:sz w:val="26"/>
                <w:szCs w:val="26"/>
              </w:rPr>
              <w:t>Công cụ phụ trợ</w:t>
            </w:r>
          </w:p>
        </w:tc>
        <w:tc>
          <w:tcPr>
            <w:tcW w:w="115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2.701</w:t>
            </w:r>
          </w:p>
        </w:tc>
        <w:tc>
          <w:tcPr>
            <w:tcW w:w="108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2.701</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2.701</w:t>
            </w:r>
          </w:p>
        </w:tc>
        <w:tc>
          <w:tcPr>
            <w:tcW w:w="1352"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2.701</w:t>
            </w: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1.983</w:t>
            </w:r>
          </w:p>
        </w:tc>
        <w:tc>
          <w:tcPr>
            <w:tcW w:w="122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73</w:t>
            </w:r>
          </w:p>
        </w:tc>
      </w:tr>
      <w:tr w:rsidR="00C639A9" w:rsidTr="002C65C3">
        <w:trPr>
          <w:trHeight w:val="395"/>
        </w:trPr>
        <w:tc>
          <w:tcPr>
            <w:tcW w:w="701"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7</w:t>
            </w:r>
          </w:p>
        </w:tc>
        <w:tc>
          <w:tcPr>
            <w:tcW w:w="2314" w:type="dxa"/>
            <w:vAlign w:val="center"/>
          </w:tcPr>
          <w:p w:rsidR="00C639A9" w:rsidRDefault="00C639A9" w:rsidP="00C639A9">
            <w:pPr>
              <w:spacing w:after="120"/>
              <w:rPr>
                <w:rFonts w:ascii="Times New Roman" w:hAnsi="Times New Roman" w:cs="Times New Roman"/>
                <w:sz w:val="26"/>
                <w:szCs w:val="26"/>
              </w:rPr>
            </w:pPr>
            <w:r>
              <w:rPr>
                <w:rFonts w:ascii="Times New Roman" w:hAnsi="Times New Roman" w:cs="Times New Roman"/>
                <w:sz w:val="26"/>
                <w:szCs w:val="26"/>
              </w:rPr>
              <w:t>Khác</w:t>
            </w:r>
          </w:p>
        </w:tc>
        <w:tc>
          <w:tcPr>
            <w:tcW w:w="1154" w:type="dxa"/>
            <w:vAlign w:val="center"/>
          </w:tcPr>
          <w:p w:rsidR="00C639A9" w:rsidRDefault="00C639A9" w:rsidP="00C639A9">
            <w:pPr>
              <w:spacing w:after="120"/>
              <w:jc w:val="center"/>
              <w:rPr>
                <w:rFonts w:ascii="Times New Roman" w:hAnsi="Times New Roman" w:cs="Times New Roman"/>
                <w:sz w:val="26"/>
                <w:szCs w:val="26"/>
              </w:rPr>
            </w:pPr>
          </w:p>
        </w:tc>
        <w:tc>
          <w:tcPr>
            <w:tcW w:w="1081" w:type="dxa"/>
            <w:vAlign w:val="center"/>
          </w:tcPr>
          <w:p w:rsidR="00C639A9" w:rsidRDefault="00C639A9" w:rsidP="00C639A9">
            <w:pPr>
              <w:spacing w:after="120"/>
              <w:jc w:val="center"/>
              <w:rPr>
                <w:rFonts w:ascii="Times New Roman" w:hAnsi="Times New Roman" w:cs="Times New Roman"/>
                <w:sz w:val="26"/>
                <w:szCs w:val="26"/>
              </w:rPr>
            </w:pPr>
          </w:p>
        </w:tc>
        <w:tc>
          <w:tcPr>
            <w:tcW w:w="1164" w:type="dxa"/>
            <w:vAlign w:val="center"/>
          </w:tcPr>
          <w:p w:rsidR="00C639A9" w:rsidRDefault="00C639A9" w:rsidP="00C639A9">
            <w:pPr>
              <w:spacing w:after="120"/>
              <w:jc w:val="center"/>
              <w:rPr>
                <w:rFonts w:ascii="Times New Roman" w:hAnsi="Times New Roman" w:cs="Times New Roman"/>
                <w:sz w:val="26"/>
                <w:szCs w:val="26"/>
              </w:rPr>
            </w:pPr>
          </w:p>
        </w:tc>
        <w:tc>
          <w:tcPr>
            <w:tcW w:w="1352" w:type="dxa"/>
            <w:vAlign w:val="center"/>
          </w:tcPr>
          <w:p w:rsidR="00C639A9" w:rsidRDefault="00C639A9" w:rsidP="00C639A9">
            <w:pPr>
              <w:spacing w:after="120"/>
              <w:jc w:val="center"/>
              <w:rPr>
                <w:rFonts w:ascii="Times New Roman" w:hAnsi="Times New Roman" w:cs="Times New Roman"/>
                <w:sz w:val="26"/>
                <w:szCs w:val="26"/>
              </w:rPr>
            </w:pPr>
          </w:p>
        </w:tc>
        <w:tc>
          <w:tcPr>
            <w:tcW w:w="116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0</w:t>
            </w:r>
          </w:p>
        </w:tc>
        <w:tc>
          <w:tcPr>
            <w:tcW w:w="1224" w:type="dxa"/>
            <w:vAlign w:val="center"/>
          </w:tcPr>
          <w:p w:rsidR="00C639A9" w:rsidRDefault="00C639A9" w:rsidP="00C639A9">
            <w:pPr>
              <w:spacing w:after="120"/>
              <w:jc w:val="center"/>
              <w:rPr>
                <w:rFonts w:ascii="Times New Roman" w:hAnsi="Times New Roman" w:cs="Times New Roman"/>
                <w:sz w:val="26"/>
                <w:szCs w:val="26"/>
              </w:rPr>
            </w:pPr>
            <w:r>
              <w:rPr>
                <w:rFonts w:ascii="Times New Roman" w:hAnsi="Times New Roman" w:cs="Times New Roman"/>
                <w:sz w:val="26"/>
                <w:szCs w:val="26"/>
              </w:rPr>
              <w:t>0</w:t>
            </w:r>
          </w:p>
        </w:tc>
      </w:tr>
      <w:tr w:rsidR="00C639A9" w:rsidTr="002C65C3">
        <w:trPr>
          <w:trHeight w:val="410"/>
        </w:trPr>
        <w:tc>
          <w:tcPr>
            <w:tcW w:w="701" w:type="dxa"/>
          </w:tcPr>
          <w:p w:rsidR="00C639A9" w:rsidRDefault="00C639A9" w:rsidP="00922F41">
            <w:pPr>
              <w:spacing w:after="120"/>
              <w:rPr>
                <w:rFonts w:ascii="Times New Roman" w:hAnsi="Times New Roman" w:cs="Times New Roman"/>
                <w:sz w:val="26"/>
                <w:szCs w:val="26"/>
              </w:rPr>
            </w:pPr>
          </w:p>
        </w:tc>
        <w:tc>
          <w:tcPr>
            <w:tcW w:w="2314" w:type="dxa"/>
            <w:vAlign w:val="center"/>
          </w:tcPr>
          <w:p w:rsidR="00C639A9" w:rsidRPr="00C639A9" w:rsidRDefault="00C639A9" w:rsidP="00C639A9">
            <w:pPr>
              <w:spacing w:after="120"/>
              <w:rPr>
                <w:rFonts w:ascii="Times New Roman" w:hAnsi="Times New Roman" w:cs="Times New Roman"/>
                <w:b/>
                <w:sz w:val="26"/>
                <w:szCs w:val="26"/>
              </w:rPr>
            </w:pPr>
            <w:r w:rsidRPr="00C639A9">
              <w:rPr>
                <w:rFonts w:ascii="Times New Roman" w:hAnsi="Times New Roman" w:cs="Times New Roman"/>
                <w:b/>
                <w:sz w:val="26"/>
                <w:szCs w:val="26"/>
              </w:rPr>
              <w:t>Cộng (triệu đồng)</w:t>
            </w:r>
          </w:p>
        </w:tc>
        <w:tc>
          <w:tcPr>
            <w:tcW w:w="115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37.312</w:t>
            </w:r>
          </w:p>
        </w:tc>
        <w:tc>
          <w:tcPr>
            <w:tcW w:w="1081"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37.312</w:t>
            </w:r>
          </w:p>
        </w:tc>
        <w:tc>
          <w:tcPr>
            <w:tcW w:w="116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37.312</w:t>
            </w:r>
          </w:p>
        </w:tc>
        <w:tc>
          <w:tcPr>
            <w:tcW w:w="1352"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37.312</w:t>
            </w:r>
          </w:p>
        </w:tc>
        <w:tc>
          <w:tcPr>
            <w:tcW w:w="116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17.023</w:t>
            </w:r>
          </w:p>
        </w:tc>
        <w:tc>
          <w:tcPr>
            <w:tcW w:w="1224" w:type="dxa"/>
            <w:vAlign w:val="center"/>
          </w:tcPr>
          <w:p w:rsidR="00C639A9" w:rsidRPr="00C639A9" w:rsidRDefault="00C639A9" w:rsidP="00C639A9">
            <w:pPr>
              <w:spacing w:after="120"/>
              <w:jc w:val="center"/>
              <w:rPr>
                <w:rFonts w:ascii="Times New Roman" w:hAnsi="Times New Roman" w:cs="Times New Roman"/>
                <w:b/>
                <w:sz w:val="26"/>
                <w:szCs w:val="26"/>
              </w:rPr>
            </w:pPr>
            <w:r w:rsidRPr="00C639A9">
              <w:rPr>
                <w:rFonts w:ascii="Times New Roman" w:hAnsi="Times New Roman" w:cs="Times New Roman"/>
                <w:b/>
                <w:sz w:val="26"/>
                <w:szCs w:val="26"/>
              </w:rPr>
              <w:t>46</w:t>
            </w:r>
          </w:p>
        </w:tc>
      </w:tr>
    </w:tbl>
    <w:p w:rsidR="00922F41" w:rsidRDefault="00C639A9" w:rsidP="00F918C8">
      <w:pPr>
        <w:spacing w:after="80"/>
        <w:jc w:val="both"/>
        <w:rPr>
          <w:rFonts w:ascii="Times New Roman" w:hAnsi="Times New Roman" w:cs="Times New Roman"/>
          <w:sz w:val="26"/>
          <w:szCs w:val="26"/>
        </w:rPr>
      </w:pPr>
      <w:r>
        <w:rPr>
          <w:rFonts w:ascii="Times New Roman" w:hAnsi="Times New Roman" w:cs="Times New Roman"/>
          <w:sz w:val="26"/>
          <w:szCs w:val="26"/>
        </w:rPr>
        <w:tab/>
        <w:t>Trong đó:</w:t>
      </w:r>
    </w:p>
    <w:p w:rsidR="00C639A9" w:rsidRDefault="00C639A9" w:rsidP="00F918C8">
      <w:pPr>
        <w:spacing w:after="80"/>
        <w:jc w:val="both"/>
        <w:rPr>
          <w:rFonts w:ascii="Times New Roman" w:hAnsi="Times New Roman" w:cs="Times New Roman"/>
          <w:sz w:val="26"/>
          <w:szCs w:val="26"/>
        </w:rPr>
      </w:pPr>
      <w:r w:rsidRPr="00C639A9">
        <w:rPr>
          <w:rFonts w:ascii="Times New Roman" w:hAnsi="Times New Roman" w:cs="Times New Roman"/>
          <w:sz w:val="26"/>
          <w:szCs w:val="26"/>
        </w:rPr>
        <w:tab/>
      </w:r>
      <w:r>
        <w:rPr>
          <w:rFonts w:ascii="Times New Roman" w:hAnsi="Times New Roman" w:cs="Times New Roman"/>
          <w:sz w:val="26"/>
          <w:szCs w:val="26"/>
        </w:rPr>
        <w:t xml:space="preserve">- Tình hình triển khai các dự án đầu tư trọng điểm: VNPT An Giang đã thực hiện tốt các dự án CSHT mạng di động và băng thông rộng, vốn bố trí các dự án này chiếm 87% trên tổng số vốn </w:t>
      </w:r>
      <w:r w:rsidR="002C65C3">
        <w:rPr>
          <w:rFonts w:ascii="Times New Roman" w:hAnsi="Times New Roman" w:cs="Times New Roman"/>
          <w:sz w:val="26"/>
          <w:szCs w:val="26"/>
        </w:rPr>
        <w:t>Tập đoàn phân bổ trong năm 2015 (theo yêu cầu của tập đoàn tối thiểu là 60%).</w:t>
      </w:r>
    </w:p>
    <w:p w:rsidR="002C65C3" w:rsidRDefault="002C65C3" w:rsidP="00F918C8">
      <w:pPr>
        <w:spacing w:after="80"/>
        <w:jc w:val="both"/>
        <w:rPr>
          <w:rFonts w:ascii="Times New Roman" w:hAnsi="Times New Roman" w:cs="Times New Roman"/>
          <w:sz w:val="26"/>
          <w:szCs w:val="26"/>
        </w:rPr>
      </w:pPr>
      <w:r>
        <w:rPr>
          <w:rFonts w:ascii="Times New Roman" w:hAnsi="Times New Roman" w:cs="Times New Roman"/>
          <w:sz w:val="26"/>
          <w:szCs w:val="26"/>
        </w:rPr>
        <w:tab/>
        <w:t>- Tình hình thực hiện các dự án hoàn thành trong năm trước được phê duyệt quyết toán: 100% các dự án hoàn thành trong năm trước đều được phê duyệt quyết toán.</w:t>
      </w:r>
    </w:p>
    <w:p w:rsidR="002C65C3" w:rsidRDefault="002C65C3" w:rsidP="00F918C8">
      <w:pPr>
        <w:spacing w:after="80"/>
        <w:jc w:val="both"/>
        <w:rPr>
          <w:rFonts w:ascii="Times New Roman" w:hAnsi="Times New Roman" w:cs="Times New Roman"/>
          <w:sz w:val="26"/>
          <w:szCs w:val="26"/>
        </w:rPr>
      </w:pPr>
      <w:r>
        <w:rPr>
          <w:rFonts w:ascii="Times New Roman" w:hAnsi="Times New Roman" w:cs="Times New Roman"/>
          <w:sz w:val="26"/>
          <w:szCs w:val="26"/>
        </w:rPr>
        <w:tab/>
        <w:t>- Tình hình triển khai các dự án trong năm: Trong năm thực hiện 41 dự án mới và 41 dự án này đều được Tập đoàn bố trí vốn trong năm 2015, các dự án này đã hoàn thành đưa vào sử dụng trong năm 2015 (không có dự án chuyển tiếp năm 2016).</w:t>
      </w:r>
    </w:p>
    <w:p w:rsidR="002C65C3" w:rsidRDefault="002C65C3" w:rsidP="00F918C8">
      <w:pPr>
        <w:spacing w:after="8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t>- Tình hình triển khai dự án CSHT mạng di động: VNPT An Giang đã đầu tư tốt cơ sở hạ tầng phát triển mới các trạm BTS, đáp ứng kịp thời cho Cty VinaPhone lắp đặt thiết bị phát sóng, đưa vào sử dụng. Tuy nhiên việc phân bổ thiết bị của Cty VinaPhone còn hạn chế, chưa được như mong muốn của đơn vị.</w:t>
      </w:r>
    </w:p>
    <w:p w:rsidR="002C65C3" w:rsidRPr="002C65C3" w:rsidRDefault="002C65C3" w:rsidP="00F918C8">
      <w:pPr>
        <w:spacing w:after="80"/>
        <w:jc w:val="both"/>
        <w:rPr>
          <w:rFonts w:ascii="Times New Roman" w:hAnsi="Times New Roman" w:cs="Times New Roman"/>
          <w:b/>
          <w:sz w:val="26"/>
          <w:szCs w:val="26"/>
        </w:rPr>
      </w:pPr>
      <w:r w:rsidRPr="002C65C3">
        <w:rPr>
          <w:rFonts w:ascii="Times New Roman" w:hAnsi="Times New Roman" w:cs="Times New Roman"/>
          <w:b/>
          <w:sz w:val="26"/>
          <w:szCs w:val="26"/>
        </w:rPr>
        <w:t>IV. Kết quả hoạt động 2015 và định hướng phát triển của Tập đoàn năm 2016</w:t>
      </w:r>
    </w:p>
    <w:p w:rsidR="002C65C3" w:rsidRPr="002C65C3" w:rsidRDefault="002C65C3" w:rsidP="00F918C8">
      <w:pPr>
        <w:spacing w:after="80"/>
        <w:jc w:val="both"/>
        <w:rPr>
          <w:rFonts w:ascii="Times New Roman" w:hAnsi="Times New Roman" w:cs="Times New Roman"/>
          <w:b/>
          <w:sz w:val="26"/>
          <w:szCs w:val="26"/>
        </w:rPr>
      </w:pPr>
      <w:r w:rsidRPr="002C65C3">
        <w:rPr>
          <w:rFonts w:ascii="Times New Roman" w:hAnsi="Times New Roman" w:cs="Times New Roman"/>
          <w:sz w:val="26"/>
          <w:szCs w:val="26"/>
        </w:rPr>
        <w:tab/>
      </w:r>
      <w:r w:rsidRPr="002C65C3">
        <w:rPr>
          <w:rFonts w:ascii="Times New Roman" w:hAnsi="Times New Roman" w:cs="Times New Roman"/>
          <w:b/>
          <w:sz w:val="26"/>
          <w:szCs w:val="26"/>
        </w:rPr>
        <w:t>1. Kết quả hoạt động 2015 của toàn VNPT</w:t>
      </w:r>
    </w:p>
    <w:p w:rsidR="002C65C3" w:rsidRDefault="002C65C3" w:rsidP="00F918C8">
      <w:pPr>
        <w:spacing w:after="80"/>
        <w:jc w:val="both"/>
        <w:rPr>
          <w:rFonts w:ascii="Times New Roman" w:hAnsi="Times New Roman" w:cs="Times New Roman"/>
          <w:sz w:val="26"/>
          <w:szCs w:val="26"/>
        </w:rPr>
      </w:pPr>
      <w:r>
        <w:tab/>
      </w:r>
      <w:r w:rsidRPr="002C65C3">
        <w:rPr>
          <w:rFonts w:ascii="Times New Roman" w:hAnsi="Times New Roman" w:cs="Times New Roman"/>
          <w:sz w:val="26"/>
          <w:szCs w:val="26"/>
        </w:rPr>
        <w:t>+ Tổng</w:t>
      </w:r>
      <w:r>
        <w:rPr>
          <w:rFonts w:ascii="Times New Roman" w:hAnsi="Times New Roman" w:cs="Times New Roman"/>
          <w:sz w:val="26"/>
          <w:szCs w:val="26"/>
        </w:rPr>
        <w:t xml:space="preserve"> doanh thu của Tập đoàn năm 2015 đạt 89.122 tỷ, đạt 102% kế hoạch, tăng 7,5% so với thực hiện 2014.</w:t>
      </w:r>
    </w:p>
    <w:p w:rsidR="002C65C3" w:rsidRDefault="002C65C3" w:rsidP="00F918C8">
      <w:pPr>
        <w:spacing w:after="80"/>
        <w:jc w:val="both"/>
        <w:rPr>
          <w:rFonts w:ascii="Times New Roman" w:hAnsi="Times New Roman" w:cs="Times New Roman"/>
          <w:sz w:val="26"/>
          <w:szCs w:val="26"/>
        </w:rPr>
      </w:pPr>
      <w:r>
        <w:rPr>
          <w:rFonts w:ascii="Times New Roman" w:hAnsi="Times New Roman" w:cs="Times New Roman"/>
          <w:sz w:val="26"/>
          <w:szCs w:val="26"/>
        </w:rPr>
        <w:tab/>
        <w:t>+ Tổng nộp ngân sách Nhà nước Tập đoàn năm 2015 đạt 3.555 tỷ, đạt 114,7% kế hoạch.</w:t>
      </w:r>
    </w:p>
    <w:p w:rsidR="00F918C8" w:rsidRPr="002C65C3" w:rsidRDefault="002C65C3" w:rsidP="00F918C8">
      <w:pPr>
        <w:spacing w:after="80"/>
        <w:jc w:val="both"/>
        <w:rPr>
          <w:rFonts w:ascii="Times New Roman" w:hAnsi="Times New Roman" w:cs="Times New Roman"/>
          <w:sz w:val="26"/>
          <w:szCs w:val="26"/>
        </w:rPr>
      </w:pPr>
      <w:r>
        <w:rPr>
          <w:rFonts w:ascii="Times New Roman" w:hAnsi="Times New Roman" w:cs="Times New Roman"/>
          <w:sz w:val="26"/>
          <w:szCs w:val="26"/>
        </w:rPr>
        <w:tab/>
        <w:t>+ Tổng lợi nhuận của Tập đoàn năm 2015 đạt 3.280 tỷ, đạt 111,7% kế hoạch, tăng 20% so với thực hiện năm 2014.</w:t>
      </w:r>
      <w:bookmarkStart w:id="0" w:name="_GoBack"/>
      <w:bookmarkEnd w:id="0"/>
    </w:p>
    <w:sectPr w:rsidR="00F918C8" w:rsidRPr="002C65C3" w:rsidSect="002C65C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C418F"/>
    <w:multiLevelType w:val="hybridMultilevel"/>
    <w:tmpl w:val="E1E25E20"/>
    <w:lvl w:ilvl="0" w:tplc="319812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20A70F9"/>
    <w:multiLevelType w:val="hybridMultilevel"/>
    <w:tmpl w:val="8BAE31F6"/>
    <w:lvl w:ilvl="0" w:tplc="D13EB88C">
      <w:start w:val="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443D7E"/>
    <w:multiLevelType w:val="hybridMultilevel"/>
    <w:tmpl w:val="940C16CC"/>
    <w:lvl w:ilvl="0" w:tplc="3CBC5C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1B1E30"/>
    <w:multiLevelType w:val="hybridMultilevel"/>
    <w:tmpl w:val="A6D007F2"/>
    <w:lvl w:ilvl="0" w:tplc="405204E8">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AA33511"/>
    <w:multiLevelType w:val="hybridMultilevel"/>
    <w:tmpl w:val="F44A5D5E"/>
    <w:lvl w:ilvl="0" w:tplc="86D8A6EA">
      <w:start w:val="1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350098B"/>
    <w:multiLevelType w:val="hybridMultilevel"/>
    <w:tmpl w:val="1248BD60"/>
    <w:lvl w:ilvl="0" w:tplc="D3EA72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C1213D"/>
    <w:multiLevelType w:val="hybridMultilevel"/>
    <w:tmpl w:val="4A1C8582"/>
    <w:lvl w:ilvl="0" w:tplc="E402AAE2">
      <w:start w:val="1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FF15086"/>
    <w:multiLevelType w:val="hybridMultilevel"/>
    <w:tmpl w:val="3C4EC4D6"/>
    <w:lvl w:ilvl="0" w:tplc="1AC2EB0E">
      <w:start w:val="17"/>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4"/>
  </w:num>
  <w:num w:numId="4">
    <w:abstractNumId w:val="7"/>
  </w:num>
  <w:num w:numId="5">
    <w:abstractNumId w:val="6"/>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385"/>
    <w:rsid w:val="00121255"/>
    <w:rsid w:val="002C65C3"/>
    <w:rsid w:val="00922F41"/>
    <w:rsid w:val="009A6385"/>
    <w:rsid w:val="00C639A9"/>
    <w:rsid w:val="00F91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D25C5"/>
  <w15:chartTrackingRefBased/>
  <w15:docId w15:val="{C782BC27-5D7A-42B7-844A-31EE64EA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6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A6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Quách Hoàng Phúc</dc:creator>
  <cp:keywords/>
  <dc:description/>
  <cp:lastModifiedBy>Tra Huu Tam</cp:lastModifiedBy>
  <cp:revision>1</cp:revision>
  <dcterms:created xsi:type="dcterms:W3CDTF">2016-10-21T03:26:00Z</dcterms:created>
  <dcterms:modified xsi:type="dcterms:W3CDTF">2016-10-21T04:13:00Z</dcterms:modified>
</cp:coreProperties>
</file>