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Kündigungsfristen im Überblick</w:t>
      </w:r>
    </w:p>
    <w:p>
      <w:r>
        <w:t>Bearbeiten Sie die folgenden Aufgaben.</w:t>
      </w:r>
    </w:p>
    <w:p>
      <w:pPr>
        <w:pStyle w:val="ListNumber"/>
      </w:pPr>
      <w:r>
        <w:t>Nennen Sie die Kündigungsfrist in der Probezeit.</w:t>
      </w:r>
    </w:p>
    <w:p>
      <w:pPr>
        <w:pStyle w:val="ListNumber"/>
      </w:pPr>
      <w:r>
        <w:t>Erklären Sie den Begriff Zugang der Kündigung.</w:t>
      </w:r>
    </w:p>
    <w:p>
      <w:pPr>
        <w:pStyle w:val="ListNumber"/>
      </w:pPr>
      <w:r>
        <w:t>Beurteilen Sie den Fall von Frau König.</w:t>
      </w:r>
    </w:p>
    <w:p>
      <w:r>
        <w:t>Hinweis im Kasten:</w:t>
      </w:r>
      <w:r>
        <w:pict>
          <v:shape style="width:300pt;height:40pt">
            <v:textbox>
              <w:txbxContent>
                <w:p>
                  <w:r>
                    <w:t>Merkkasten: Die Probezeitfrist beträgt zwei Wochen nach Paragraph sechshundertzweiundzwanzig.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