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940000" cy="1113750"/>
            <wp:docPr id="1" name="Picture 1"/>
            <wp:cNvGraphicFramePr>
              <a:graphicFrameLocks noChangeAspect="1"/>
            </wp:cNvGraphicFramePr>
            <a:graphic>
              <a:graphicData uri="http://schemas.openxmlformats.org/drawingml/2006/picture">
                <pic:pic>
                  <pic:nvPicPr>
                    <pic:cNvPr id="0" name="banner.jpg"/>
                    <pic:cNvPicPr/>
                  </pic:nvPicPr>
                  <pic:blipFill>
                    <a:blip r:embed="rId11"/>
                    <a:stretch>
                      <a:fillRect/>
                    </a:stretch>
                  </pic:blipFill>
                  <pic:spPr>
                    <a:xfrm>
                      <a:off x="0" y="0"/>
                      <a:ext cx="5940000" cy="1113750"/>
                    </a:xfrm>
                    <a:prstGeom prst="rect"/>
                  </pic:spPr>
                </pic:pic>
              </a:graphicData>
            </a:graphic>
          </wp:inline>
        </w:drawing>
      </w:r>
    </w:p>
    <w:p>
      <w:pPr>
        <w:pStyle w:val="Title"/>
      </w:pPr>
      <w:r>
        <w:t>Demo full document</w:t>
      </w:r>
    </w:p>
    <w:p>
      <w:r>
        <w:rPr>
          <w:i/>
          <w:sz w:val="28"/>
        </w:rPr>
        <w:t>Every kind of component a Word file can hold</w:t>
      </w:r>
    </w:p>
    <w:p>
      <w:r>
        <w:t>Contents</w:t>
      </w:r>
    </w:p>
    <w:p>
      <w:r>
        <w:fldChar w:fldCharType="begin"/>
      </w:r>
      <w:r>
        <w:instrText xml:space="preserve">TOC \o "1-3" \h \z \u</w:instrText>
      </w:r>
      <w:r>
        <w:fldChar w:fldCharType="separate"/>
      </w:r>
      <w:r>
        <w:t>(update the field to build the table of contents)</w:t>
      </w:r>
      <w:r>
        <w:fldChar w:fldCharType="end"/>
      </w:r>
    </w:p>
    <w:p>
      <w:pPr>
        <w:pStyle w:val="Heading1"/>
      </w:pPr>
      <w:r>
        <w:t>1. Text formatting</w:t>
      </w:r>
    </w:p>
    <w:p>
      <w:r>
        <w:t xml:space="preserve">Plain, </w:t>
      </w:r>
      <w:r>
        <w:rPr>
          <w:b/>
        </w:rPr>
        <w:t>bold</w:t>
      </w:r>
      <w:r>
        <w:rPr>
          <w:i/>
        </w:rPr>
        <w:t xml:space="preserve"> italic</w:t>
      </w:r>
      <w:r>
        <w:rPr>
          <w:u w:val="single"/>
        </w:rPr>
        <w:t xml:space="preserve"> underline</w:t>
      </w:r>
      <w:r>
        <w:rPr>
          <w:strike/>
        </w:rPr>
        <w:t xml:space="preserve"> strike</w:t>
      </w:r>
      <w:r>
        <w:rPr>
          <w:vertAlign w:val="superscript"/>
        </w:rPr>
        <w:t xml:space="preserve"> super</w:t>
      </w:r>
      <w:r>
        <w:rPr>
          <w:vertAlign w:val="subscript"/>
        </w:rPr>
        <w:t xml:space="preserve"> sub</w:t>
      </w:r>
      <w:r>
        <w:rPr>
          <w:smallCaps/>
        </w:rPr>
        <w:t xml:space="preserve"> small caps</w:t>
      </w:r>
    </w:p>
    <w:p>
      <w:r>
        <w:rPr>
          <w:rFonts w:ascii="Arial" w:hAnsi="Arial"/>
          <w:color w:val="C00000"/>
          <w:sz w:val="28"/>
        </w:rPr>
        <w:t xml:space="preserve">Red Arial 14 </w:t>
      </w:r>
      <w:r>
        <w:rPr>
          <w:rFonts w:ascii="Times New Roman" w:hAnsi="Times New Roman"/>
          <w:color w:val="2E7D32"/>
          <w:sz w:val="24"/>
        </w:rPr>
        <w:t xml:space="preserve">Green Times 12 </w:t>
      </w:r>
      <w:r>
        <w:rPr>
          <w:rFonts w:ascii="Courier New" w:hAnsi="Courier New"/>
          <w:color w:val="1F4E9E"/>
          <w:sz w:val="20"/>
        </w:rPr>
        <w:t xml:space="preserve">Blue Courier 10 </w:t>
      </w:r>
      <w:r>
        <w:rPr>
          <w:rFonts w:ascii="Georgia" w:hAnsi="Georgia"/>
          <w:color w:val="7B3F00"/>
          <w:sz w:val="32"/>
        </w:rPr>
        <w:t>Georgia 16</w:t>
      </w:r>
    </w:p>
    <w:p>
      <w:r>
        <w:rPr>
          <w:highlight w:val="yellow"/>
        </w:rPr>
        <w:t>Highlighted text</w:t>
      </w:r>
    </w:p>
    <w:p>
      <w:r>
        <w:rPr>
          <w:sz w:val="22"/>
        </w:rPr>
        <w:t>Vietnamese: Tiếng Việt có dấu — ă â ê ô ơ ư đ, “quotes”, – dashes, … ellipsis, € £ ₫ ©</w:t>
      </w:r>
    </w:p>
    <w:p>
      <w:pPr>
        <w:jc w:val="left"/>
      </w:pPr>
      <w:r>
        <w:t>Left aligned paragraph</w:t>
      </w:r>
    </w:p>
    <w:p>
      <w:pPr>
        <w:jc w:val="center"/>
      </w:pPr>
      <w:r>
        <w:t>Center aligned paragraph</w:t>
      </w:r>
    </w:p>
    <w:p>
      <w:pPr>
        <w:jc w:val="right"/>
      </w:pPr>
      <w:r>
        <w:t>Right aligned paragraph</w:t>
      </w:r>
    </w:p>
    <w:p>
      <w:pPr>
        <w:jc w:val="both"/>
      </w:pPr>
      <w:r>
        <w:t>Justified: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aligned paragraph</w:t>
      </w:r>
    </w:p>
    <w:p>
      <w:pPr>
        <w:spacing w:line="432" w:lineRule="auto" w:before="160" w:after="240"/>
        <w:ind w:left="850" w:firstLine="567"/>
      </w:pPr>
      <w:r>
        <w:t xml:space="preserve">Indented with spacing and line height 1.8. Indented with spacing and line height 1.8. Indented with spacing and line height 1.8. Indented with spacing and line height 1.8. </w:t>
      </w:r>
    </w:p>
    <w:p>
      <w:pPr>
        <w:pBdr>
          <w:top w:val="single" w:sz="8" w:color="C65A28"/>
          <w:left w:val="single" w:sz="8" w:color="C65A28"/>
          <w:bottom w:val="single" w:sz="8" w:color="C65A28"/>
          <w:right w:val="single" w:sz="8" w:color="C65A28"/>
        </w:pBdr>
        <w:shd w:val="clear" w:color="auto" w:fill="FDEBDD"/>
      </w:pPr>
      <w:r>
        <w:t>Paragraph with border and shading</w:t>
      </w:r>
    </w:p>
    <w:p>
      <w:r>
        <w:t xml:space="preserve">Link: </w:t>
      </w:r>
      <w:hyperlink r:id="rId12">
        <w:r>
          <w:rPr>
            <w:color w:val="0563C1"/>
            <w:u w:val="single"/>
          </w:rPr>
          <w:t>piloos.com</w:t>
        </w:r>
      </w:hyperlink>
    </w:p>
    <w:p>
      <w:pPr>
        <w:pStyle w:val="Heading1"/>
      </w:pPr>
      <w:r>
        <w:t>2. Lists</w:t>
      </w:r>
    </w:p>
    <w:p>
      <w:pPr>
        <w:pStyle w:val="ListBullet"/>
      </w:pPr>
      <w:r>
        <w:t>Bullet one</w:t>
      </w:r>
    </w:p>
    <w:p>
      <w:pPr>
        <w:pStyle w:val="ListBullet"/>
      </w:pPr>
      <w:r>
        <w:t>Bullet two</w:t>
      </w:r>
    </w:p>
    <w:p>
      <w:pPr>
        <w:pStyle w:val="ListBullet"/>
      </w:pPr>
      <w:r>
        <w:t>Bullet three</w:t>
      </w:r>
    </w:p>
    <w:p>
      <w:pPr>
        <w:pStyle w:val="ListBullet2"/>
      </w:pPr>
      <w:r>
        <w:t>Nested bullet</w:t>
      </w:r>
    </w:p>
    <w:p>
      <w:pPr>
        <w:pStyle w:val="ListNumber"/>
      </w:pPr>
      <w:r>
        <w:t>Numbered first</w:t>
      </w:r>
    </w:p>
    <w:p>
      <w:pPr>
        <w:pStyle w:val="ListNumber"/>
      </w:pPr>
      <w:r>
        <w:t>Numbered second</w:t>
      </w:r>
    </w:p>
    <w:p>
      <w:pPr>
        <w:pStyle w:val="ListNumber"/>
      </w:pPr>
      <w:r>
        <w:t>Numbered third</w:t>
      </w:r>
    </w:p>
    <w:p>
      <w:pPr>
        <w:pStyle w:val="IntenseQuote"/>
      </w:pPr>
      <w:r>
        <w:t>Quote style paragraph</w:t>
      </w:r>
    </w:p>
    <w:p>
      <w:pPr>
        <w:pStyle w:val="Heading3"/>
      </w:pPr>
      <w:r>
        <w:t>Heading 3 sample</w:t>
      </w:r>
    </w:p>
    <w:p>
      <w:pPr>
        <w:pStyle w:val="Heading1"/>
      </w:pPr>
      <w:r>
        <w:t>3. Tables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C65A28"/>
          </w:tcPr>
          <w:p>
            <w:r>
              <w:rPr>
                <w:b/>
                <w:color w:val="FFFFFF"/>
              </w:rPr>
              <w:t>Region</w:t>
            </w:r>
          </w:p>
        </w:tc>
        <w:tc>
          <w:tcPr>
            <w:tcW w:type="dxa" w:w="2436"/>
            <w:shd w:val="clear" w:color="auto" w:fill="C65A28"/>
          </w:tcPr>
          <w:p>
            <w:r>
              <w:rPr>
                <w:b/>
                <w:color w:val="FFFFFF"/>
              </w:rPr>
              <w:t>Q1</w:t>
            </w:r>
          </w:p>
        </w:tc>
        <w:tc>
          <w:tcPr>
            <w:tcW w:type="dxa" w:w="2436"/>
            <w:shd w:val="clear" w:color="auto" w:fill="C65A28"/>
          </w:tcPr>
          <w:p>
            <w:r>
              <w:rPr>
                <w:b/>
                <w:color w:val="FFFFFF"/>
              </w:rPr>
              <w:t>Q2</w:t>
            </w:r>
          </w:p>
        </w:tc>
        <w:tc>
          <w:tcPr>
            <w:tcW w:type="dxa" w:w="2436"/>
            <w:shd w:val="clear" w:color="auto" w:fill="C65A28"/>
          </w:tcPr>
          <w:p>
            <w:r>
              <w:rPr>
                <w:b/>
                <w:color w:val="FFFFFF"/>
              </w:rPr>
              <w:t>Q3</w:t>
            </w:r>
          </w:p>
        </w:tc>
      </w:tr>
      <w:tr>
        <w:tc>
          <w:tcPr>
            <w:tcW w:type="dxa" w:w="2436"/>
          </w:tcPr>
          <w:p>
            <w:r>
              <w:t>North</w:t>
            </w:r>
          </w:p>
        </w:tc>
        <w:tc>
          <w:tcPr>
            <w:tcW w:type="dxa" w:w="2436"/>
          </w:tcPr>
          <w:p>
            <w:pPr>
              <w:jc w:val="right"/>
            </w:pPr>
            <w:r>
              <w:t>120</w:t>
            </w:r>
          </w:p>
        </w:tc>
        <w:tc>
          <w:tcPr>
            <w:tcW w:type="dxa" w:w="2436"/>
          </w:tcPr>
          <w:p>
            <w:pPr>
              <w:jc w:val="right"/>
            </w:pPr>
            <w:r>
              <w:t>150</w:t>
            </w:r>
          </w:p>
        </w:tc>
        <w:tc>
          <w:tcPr>
            <w:tcW w:type="dxa" w:w="2436"/>
          </w:tcPr>
          <w:p>
            <w:pPr>
              <w:jc w:val="right"/>
            </w:pPr>
            <w:r>
              <w:t>170</w:t>
            </w:r>
          </w:p>
        </w:tc>
      </w:tr>
      <w:tr>
        <w:tc>
          <w:tcPr>
            <w:tcW w:type="dxa" w:w="2436"/>
            <w:shd w:val="clear" w:color="auto" w:fill="F6F0EA"/>
          </w:tcPr>
          <w:p>
            <w:r>
              <w:t>South</w:t>
            </w:r>
          </w:p>
        </w:tc>
        <w:tc>
          <w:tcPr>
            <w:tcW w:type="dxa" w:w="2436"/>
            <w:shd w:val="clear" w:color="auto" w:fill="F6F0EA"/>
          </w:tcPr>
          <w:p>
            <w:pPr>
              <w:jc w:val="right"/>
            </w:pPr>
            <w:r>
              <w:t>90</w:t>
            </w:r>
          </w:p>
        </w:tc>
        <w:tc>
          <w:tcPr>
            <w:tcW w:type="dxa" w:w="2436"/>
            <w:shd w:val="clear" w:color="auto" w:fill="F6F0EA"/>
          </w:tcPr>
          <w:p>
            <w:pPr>
              <w:jc w:val="right"/>
            </w:pPr>
            <w:r>
              <w:t>110</w:t>
            </w:r>
          </w:p>
        </w:tc>
        <w:tc>
          <w:tcPr>
            <w:tcW w:type="dxa" w:w="2436"/>
            <w:shd w:val="clear" w:color="auto" w:fill="F6F0EA"/>
          </w:tcPr>
          <w:p>
            <w:pPr>
              <w:jc w:val="right"/>
            </w:pPr>
            <w:r>
              <w:t>95</w:t>
            </w:r>
          </w:p>
        </w:tc>
      </w:tr>
      <w:tr>
        <w:tc>
          <w:tcPr>
            <w:tcW w:type="dxa" w:w="2436"/>
          </w:tcPr>
          <w:p>
            <w:r>
              <w:t>East</w:t>
            </w:r>
          </w:p>
        </w:tc>
        <w:tc>
          <w:tcPr>
            <w:tcW w:type="dxa" w:w="2436"/>
          </w:tcPr>
          <w:p>
            <w:pPr>
              <w:jc w:val="right"/>
            </w:pPr>
            <w:r>
              <w:t>60</w:t>
            </w:r>
          </w:p>
        </w:tc>
        <w:tc>
          <w:tcPr>
            <w:tcW w:type="dxa" w:w="2436"/>
          </w:tcPr>
          <w:p>
            <w:pPr>
              <w:jc w:val="right"/>
            </w:pPr>
            <w:r>
              <w:t>80</w:t>
            </w:r>
          </w:p>
        </w:tc>
        <w:tc>
          <w:tcPr>
            <w:tcW w:type="dxa" w:w="2436"/>
          </w:tcPr>
          <w:p>
            <w:pPr>
              <w:jc w:val="right"/>
            </w:pPr>
            <w:r>
              <w:t>130</w:t>
            </w:r>
          </w:p>
        </w:tc>
      </w:tr>
      <w:tr>
        <w:tc>
          <w:tcPr>
            <w:tcW w:type="dxa" w:w="2436"/>
            <w:shd w:val="clear" w:color="auto" w:fill="F6F0EA"/>
          </w:tcPr>
          <w:p>
            <w:r>
              <w:t>West</w:t>
            </w:r>
          </w:p>
        </w:tc>
        <w:tc>
          <w:tcPr>
            <w:tcW w:type="dxa" w:w="2436"/>
            <w:shd w:val="clear" w:color="auto" w:fill="F6F0EA"/>
          </w:tcPr>
          <w:p>
            <w:pPr>
              <w:jc w:val="right"/>
            </w:pPr>
            <w:r>
              <w:t>200</w:t>
            </w:r>
          </w:p>
        </w:tc>
        <w:tc>
          <w:tcPr>
            <w:tcW w:type="dxa" w:w="2436"/>
            <w:shd w:val="clear" w:color="auto" w:fill="F6F0EA"/>
          </w:tcPr>
          <w:p>
            <w:pPr>
              <w:jc w:val="right"/>
            </w:pPr>
            <w:r>
              <w:t>180</w:t>
            </w:r>
          </w:p>
        </w:tc>
        <w:tc>
          <w:tcPr>
            <w:tcW w:type="dxa" w:w="2436"/>
            <w:shd w:val="clear" w:color="auto" w:fill="F6F0EA"/>
          </w:tcPr>
          <w:p>
            <w:pPr>
              <w:jc w:val="right"/>
            </w:pPr>
            <w:r>
              <w:t>220</w:t>
            </w:r>
          </w:p>
        </w:tc>
      </w:tr>
    </w:tbl>
    <w:tbl>
      <w:tblPr>
        <w:tblStyle w:val="TableGrid"/>
        <w:tblW w:type="auto" w:w="0"/>
        <w:tblLook w:firstColumn="1" w:firstRow="1" w:lastColumn="0" w:lastRow="0" w:noHBand="0" w:noVBand="1" w:val="04A0"/>
      </w:tblPr>
      <w:tblGrid>
        <w:gridCol w:w="3249"/>
        <w:gridCol w:w="3249"/>
        <w:gridCol w:w="3249"/>
      </w:tblGrid>
      <w:tr>
        <w:tc>
          <w:tcPr>
            <w:tcW w:type="dxa" w:w="9747"/>
            <w:gridSpan w:val="3"/>
            <w:shd w:val="clear" w:color="auto" w:fill="DDEBF7"/>
          </w:tcPr>
          <w:p>
            <w:r>
              <w:t>Merged across three columns</w:t>
            </w:r>
          </w:p>
        </w:tc>
      </w:tr>
      <w:tr>
        <w:tc>
          <w:tcPr>
            <w:tcW w:type="dxa" w:w="3249"/>
            <w:vMerge w:val="restart"/>
          </w:tcPr>
          <w:p>
            <w:r>
              <w:t>Merged down</w:t>
            </w:r>
          </w:p>
        </w:tc>
        <w:tc>
          <w:tcPr>
            <w:tcW w:type="dxa" w:w="3249"/>
          </w:tcPr>
          <w:p>
            <w:r>
              <w:t>a</w:t>
            </w:r>
          </w:p>
        </w:tc>
        <w:tc>
          <w:tcPr>
            <w:tcW w:type="dxa" w:w="3249"/>
          </w:tcPr>
          <w:p>
            <w:r>
              <w:t>b</w:t>
            </w:r>
          </w:p>
        </w:tc>
      </w:tr>
      <w:tr>
        <w:tc>
          <w:tcPr>
            <w:tcW w:type="dxa" w:w="3249"/>
            <w:vMerge/>
          </w:tcPr>
          <w:p/>
        </w:tc>
        <w:tc>
          <w:tcPr>
            <w:tcW w:type="dxa" w:w="3249"/>
          </w:tcPr>
          <w:p>
            <w:r>
              <w:t>c</w:t>
            </w:r>
          </w:p>
        </w:tc>
        <w:tc>
          <w:tcPr>
            <w:tcW w:type="dxa" w:w="3249"/>
          </w:tcPr>
          <w:p>
            <w:r>
              <w:t>d</w:t>
            </w:r>
          </w:p>
        </w:tc>
      </w:tr>
    </w:tbl>
    <w:p/>
    <w:p>
      <w:pPr>
        <w:pStyle w:val="Heading1"/>
      </w:pPr>
      <w:r>
        <w:t>4. Pictures</w:t>
      </w:r>
    </w:p>
    <w:p>
      <w:r>
        <w:t>Inline JPEG photo (width 9 cm) and PNG logo with transparency (3 cm):</w:t>
      </w:r>
    </w:p>
    <w:p>
      <w:pPr>
        <w:jc w:val="center"/>
      </w:pPr>
      <w:r>
        <w:drawing>
          <wp:inline xmlns:a="http://schemas.openxmlformats.org/drawingml/2006/main" xmlns:pic="http://schemas.openxmlformats.org/drawingml/2006/picture">
            <wp:extent cx="3240000" cy="2160000"/>
            <wp:docPr id="2" name="Picture 2"/>
            <wp:cNvGraphicFramePr>
              <a:graphicFrameLocks noChangeAspect="1"/>
            </wp:cNvGraphicFramePr>
            <a:graphic>
              <a:graphicData uri="http://schemas.openxmlformats.org/drawingml/2006/picture">
                <pic:pic>
                  <pic:nvPicPr>
                    <pic:cNvPr id="0" name="photo.jpg"/>
                    <pic:cNvPicPr/>
                  </pic:nvPicPr>
                  <pic:blipFill>
                    <a:blip r:embed="rId13"/>
                    <a:stretch>
                      <a:fillRect/>
                    </a:stretch>
                  </pic:blipFill>
                  <pic:spPr>
                    <a:xfrm>
                      <a:off x="0" y="0"/>
                      <a:ext cx="3240000" cy="2160000"/>
                    </a:xfrm>
                    <a:prstGeom prst="rect"/>
                  </pic:spPr>
                </pic:pic>
              </a:graphicData>
            </a:graphic>
          </wp:inline>
        </w:drawing>
      </w:r>
    </w:p>
    <w:p>
      <w:r>
        <w:drawing>
          <wp:inline xmlns:a="http://schemas.openxmlformats.org/drawingml/2006/main" xmlns:pic="http://schemas.openxmlformats.org/drawingml/2006/picture">
            <wp:extent cx="1080000" cy="1080000"/>
            <wp:docPr id="3" name="Picture 3"/>
            <wp:cNvGraphicFramePr>
              <a:graphicFrameLocks noChangeAspect="1"/>
            </wp:cNvGraphicFramePr>
            <a:graphic>
              <a:graphicData uri="http://schemas.openxmlformats.org/drawingml/2006/picture">
                <pic:pic>
                  <pic:nvPicPr>
                    <pic:cNvPr id="0" name="logo.png"/>
                    <pic:cNvPicPr/>
                  </pic:nvPicPr>
                  <pic:blipFill>
                    <a:blip r:embed="rId14"/>
                    <a:stretch>
                      <a:fillRect/>
                    </a:stretch>
                  </pic:blipFill>
                  <pic:spPr>
                    <a:xfrm>
                      <a:off x="0" y="0"/>
                      <a:ext cx="1080000" cy="1080000"/>
                    </a:xfrm>
                    <a:prstGeom prst="rect"/>
                  </pic:spPr>
                </pic:pic>
              </a:graphicData>
            </a:graphic>
          </wp:inline>
        </w:drawing>
      </w:r>
      <w:r>
        <w:t xml:space="preserve">  text next to a small inline picture.</w:t>
      </w:r>
    </w:p>
    <w:p>
      <w:pPr>
        <w:pStyle w:val="Heading1"/>
      </w:pPr>
      <w:r>
        <w:t>5. Chart</w:t>
      </w:r>
    </w:p>
    <w:p>
      <w:pPr>
        <w:jc w:val="center"/>
      </w:pPr>
      <w:r>
        <w:drawing>
          <wp:inline>
            <wp:extent cx="5400000" cy="2700000"/>
            <wp:docPr id="101" name="Chart 1"/>
            <a:graphic xmlns:a="http://schemas.openxmlformats.org/drawingml/2006/main">
              <a:graphicData uri="http://schemas.openxmlformats.org/drawingml/2006/chart">
                <c:chart xmlns:c="http://schemas.openxmlformats.org/drawingml/2006/chart" r:id="rId15"/>
              </a:graphicData>
            </a:graphic>
          </wp:inline>
        </w:drawing>
      </w:r>
    </w:p>
    <w:p>
      <w:pPr>
        <w:jc w:val="center"/>
      </w:pPr>
      <w:r>
        <w:drawing>
          <wp:inline>
            <wp:extent cx="5400000" cy="2700000"/>
            <wp:docPr id="102" name="Chart 2"/>
            <a:graphic xmlns:a="http://schemas.openxmlformats.org/drawingml/2006/main">
              <a:graphicData uri="http://schemas.openxmlformats.org/drawingml/2006/chart">
                <c:chart xmlns:c="http://schemas.openxmlformats.org/drawingml/2006/chart" r:id="rId16"/>
              </a:graphicData>
            </a:graphic>
          </wp:inline>
        </w:drawing>
      </w:r>
    </w:p>
    <w:p>
      <w:pPr>
        <w:jc w:val="center"/>
      </w:pPr>
      <w:r>
        <w:drawing>
          <wp:inline>
            <wp:extent cx="5400000" cy="2700000"/>
            <wp:docPr id="103" name="Chart 3"/>
            <a:graphic xmlns:a="http://schemas.openxmlformats.org/drawingml/2006/main">
              <a:graphicData uri="http://schemas.openxmlformats.org/drawingml/2006/chart">
                <c:chart xmlns:c="http://schemas.openxmlformats.org/drawingml/2006/chart" r:id="rId17"/>
              </a:graphicData>
            </a:graphic>
          </wp:inline>
        </w:drawing>
      </w:r>
    </w:p>
    <w:p>
      <w:pPr>
        <w:pStyle w:val="Heading1"/>
      </w:pPr>
      <w:r>
        <w:t>6. Page layout</w:t>
      </w:r>
    </w:p>
    <w:p>
      <w:r>
        <w:t>A page break follows, then a landscape section with two columns.</w:t>
      </w:r>
    </w:p>
    <w:p>
      <w:r>
        <w:br w:type="page"/>
      </w:r>
    </w:p>
    <w:p>
      <w:pPr>
        <w:sectPr>
          <w:headerReference w:type="default" r:id="rId9"/>
          <w:footerReference w:type="default" r:id="rId10"/>
          <w:pgSz w:w="12240" w:h="15840"/>
          <w:pgMar w:top="1440" w:right="1247" w:bottom="1440" w:left="1247" w:header="720" w:footer="720" w:gutter="0"/>
          <w:cols w:space="720"/>
          <w:docGrid w:linePitch="360"/>
        </w:sectPr>
      </w:pPr>
    </w:p>
    <w:p>
      <w:pPr>
        <w:pStyle w:val="Heading2"/>
      </w:pPr>
      <w:r>
        <w:t>Landscape, two columns</w:t>
      </w:r>
    </w:p>
    <w:p>
      <w:r>
        <w:t xml:space="preserve">Paragraph 1. This text flows across two columns in a landscape section so the viewer must lay out columns. This text flows across two columns in a landscape section so the viewer must lay out columns. This text flows across two columns in a landscape section so the viewer must lay out columns. </w:t>
      </w:r>
    </w:p>
    <w:p>
      <w:r>
        <w:t xml:space="preserve">Paragraph 2. This text flows across two columns in a landscape section so the viewer must lay out columns. This text flows across two columns in a landscape section so the viewer must lay out columns. This text flows across two columns in a landscape section so the viewer must lay out columns. </w:t>
      </w:r>
    </w:p>
    <w:p>
      <w:r>
        <w:t xml:space="preserve">Paragraph 3. This text flows across two columns in a landscape section so the viewer must lay out columns. This text flows across two columns in a landscape section so the viewer must lay out columns. This text flows across two columns in a landscape section so the viewer must lay out columns. </w:t>
      </w:r>
    </w:p>
    <w:p>
      <w:r>
        <w:t xml:space="preserve">Paragraph 4. This text flows across two columns in a landscape section so the viewer must lay out columns. This text flows across two columns in a landscape section so the viewer must lay out columns. This text flows across two columns in a landscape section so the viewer must lay out columns. </w:t>
      </w:r>
    </w:p>
    <w:p>
      <w:r>
        <w:t xml:space="preserve">Paragraph 5. This text flows across two columns in a landscape section so the viewer must lay out columns. This text flows across two columns in a landscape section so the viewer must lay out columns. This text flows across two columns in a landscape section so the viewer must lay out columns. </w:t>
      </w:r>
    </w:p>
    <w:p>
      <w:r>
        <w:t xml:space="preserve">Paragraph 6. This text flows across two columns in a landscape section so the viewer must lay out columns. This text flows across two columns in a landscape section so the viewer must lay out columns. This text flows across two columns in a landscape section so the viewer must lay out columns. </w:t>
      </w:r>
    </w:p>
    <w:sectPr w:rsidR="00FC693F" w:rsidRPr="0006063C" w:rsidSect="00034616">
      <w:pgSz w:w="15840" w:h="12240" w:orient="landscape"/>
      <w:pgMar w:top="1440" w:right="1247" w:bottom="1440" w:left="1247" w:header="720" w:footer="720" w:gutter="0"/>
      <w:cols w:space="720"/>
      <w:docGrid w:linePitch="36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5</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Demo full document —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yperlink" Target="https://piloos.com" TargetMode="External"/><Relationship Id="rId13" Type="http://schemas.openxmlformats.org/officeDocument/2006/relationships/image" Target="media/image2.jpg"/><Relationship Id="rId14" Type="http://schemas.openxmlformats.org/officeDocument/2006/relationships/image" Target="media/image3.png"/><Relationship Id="rId15" Type="http://schemas.openxmlformats.org/officeDocument/2006/relationships/chart" Target="charts/chart1.xml"/><Relationship Id="rId16" Type="http://schemas.openxmlformats.org/officeDocument/2006/relationships/chart" Target="charts/chart2.xml"/><Relationship Id="rId17" Type="http://schemas.openxmlformats.org/officeDocument/2006/relationships/chart" Target="charts/chart3.xml"/></Relationships>
</file>

<file path=word/charts/chart1.xml><?xml version="1.0" encoding="utf-8"?>
<c:chartSpace xmlns:c="http://schemas.openxmlformats.org/drawingml/2006/chart" xmlns:a="http://schemas.openxmlformats.org/drawingml/2006/main" xmlns:r="http://schemas.openxmlformats.org/officeDocument/2006/relationships">
  <c:date1904 val="0"/>
  <c:chart>
    <c:autoTitleDeleted val="0"/>
    <c:plotArea>
      <c:barChart>
        <c:barDir val="col"/>
        <c:grouping val="clustered"/>
        <c:ser>
          <c:idx val="0"/>
          <c:order val="0"/>
          <c:tx>
            <c:strRef>
              <c:f>Sheet1!$B$1</c:f>
              <c:strCache>
                <c:ptCount val="1"/>
                <c:pt idx="0">
                  <c:v>North</c:v>
                </c:pt>
              </c:strCache>
            </c:strRef>
          </c:tx>
          <c:cat>
            <c:strRef>
              <c:f>Sheet1!$A$2:$A$5</c:f>
              <c:strCache>
                <c:ptCount val="4"/>
                <c:pt idx="0">
                  <c:v>Q1</c:v>
                </c:pt>
                <c:pt idx="1">
                  <c:v>Q2</c:v>
                </c:pt>
                <c:pt idx="2">
                  <c:v>Q3</c:v>
                </c:pt>
                <c:pt idx="3">
                  <c:v>Q4</c:v>
                </c:pt>
              </c:strCache>
            </c:strRef>
          </c:cat>
          <c:val>
            <c:numRef>
              <c:f>Sheet1!$B$2:$B$5</c:f>
              <c:numCache>
                <c:formatCode>General</c:formatCode>
                <c:ptCount val="4"/>
                <c:pt idx="0">
                  <c:v>120</c:v>
                </c:pt>
                <c:pt idx="1">
                  <c:v>150</c:v>
                </c:pt>
                <c:pt idx="2">
                  <c:v>170</c:v>
                </c:pt>
                <c:pt idx="3">
                  <c:v>140</c:v>
                </c:pt>
              </c:numCache>
            </c:numRef>
          </c:val>
        </c:ser>
        <c:ser>
          <c:idx val="1"/>
          <c:order val="1"/>
          <c:tx>
            <c:strRef>
              <c:f>Sheet1!$C$1</c:f>
              <c:strCache>
                <c:ptCount val="1"/>
                <c:pt idx="0">
                  <c:v>South</c:v>
                </c:pt>
              </c:strCache>
            </c:strRef>
          </c:tx>
          <c:cat>
            <c:strRef>
              <c:f>Sheet1!$A$2:$A$5</c:f>
              <c:strCache>
                <c:ptCount val="4"/>
                <c:pt idx="0">
                  <c:v>Q1</c:v>
                </c:pt>
                <c:pt idx="1">
                  <c:v>Q2</c:v>
                </c:pt>
                <c:pt idx="2">
                  <c:v>Q3</c:v>
                </c:pt>
                <c:pt idx="3">
                  <c:v>Q4</c:v>
                </c:pt>
              </c:strCache>
            </c:strRef>
          </c:cat>
          <c:val>
            <c:numRef>
              <c:f>Sheet1!$C$2:$C$5</c:f>
              <c:numCache>
                <c:formatCode>General</c:formatCode>
                <c:ptCount val="4"/>
                <c:pt idx="0">
                  <c:v>90</c:v>
                </c:pt>
                <c:pt idx="1">
                  <c:v>110</c:v>
                </c:pt>
                <c:pt idx="2">
                  <c:v>95</c:v>
                </c:pt>
                <c:pt idx="3">
                  <c:v>120</c:v>
                </c:pt>
              </c:numCache>
            </c:numRef>
          </c:val>
        </c:ser>
        <c:ser>
          <c:idx val="2"/>
          <c:order val="2"/>
          <c:tx>
            <c:strRef>
              <c:f>Sheet1!$D$1</c:f>
              <c:strCache>
                <c:ptCount val="1"/>
                <c:pt idx="0">
                  <c:v>East</c:v>
                </c:pt>
              </c:strCache>
            </c:strRef>
          </c:tx>
          <c:cat>
            <c:strRef>
              <c:f>Sheet1!$A$2:$A$5</c:f>
              <c:strCache>
                <c:ptCount val="4"/>
                <c:pt idx="0">
                  <c:v>Q1</c:v>
                </c:pt>
                <c:pt idx="1">
                  <c:v>Q2</c:v>
                </c:pt>
                <c:pt idx="2">
                  <c:v>Q3</c:v>
                </c:pt>
                <c:pt idx="3">
                  <c:v>Q4</c:v>
                </c:pt>
              </c:strCache>
            </c:strRef>
          </c:cat>
          <c:val>
            <c:numRef>
              <c:f>Sheet1!$D$2:$D$5</c:f>
              <c:numCache>
                <c:formatCode>General</c:formatCode>
                <c:ptCount val="4"/>
                <c:pt idx="0">
                  <c:v>60</c:v>
                </c:pt>
                <c:pt idx="1">
                  <c:v>80</c:v>
                </c:pt>
                <c:pt idx="2">
                  <c:v>130</c:v>
                </c:pt>
                <c:pt idx="3">
                  <c:v>150</c:v>
                </c:pt>
              </c:numCache>
            </c:numRef>
          </c:val>
        </c:ser>
        <c:axId val="-2068027336"/>
        <c:axId val="-2113994440"/>
      </c:barChart>
      <c:catAx>
        <c:axId val="-2068027336"/>
        <c:scaling>
          <c:orientation val="minMax"/>
        </c:scaling>
        <c:delete val="0"/>
        <c:axPos val="b"/>
        <c:majorTickMark val="out"/>
        <c:minorTickMark val="none"/>
        <c:tickLblPos val="nextTo"/>
        <c:crossAx val="-2113994440"/>
        <c:crosses val="autoZero"/>
        <c:auto val="1"/>
        <c:lblAlgn val="ctr"/>
        <c:lblOffset val="100"/>
        <c:noMultiLvlLbl val="0"/>
      </c:catAx>
      <c:valAx>
        <c:axId val="-2113994440"/>
        <c:scaling/>
        <c:delete val="0"/>
        <c:axPos val="l"/>
        <c:majorGridlines/>
        <c:majorTickMark val="out"/>
        <c:minorTickMark val="none"/>
        <c:tickLblPos val="nextTo"/>
        <c:crossAx val="-2068027336"/>
        <c:crosses val="autoZero"/>
      </c:valAx>
    </c:plotArea>
    <c:dispBlanksAs val="gap"/>
  </c:chart>
  <c:txPr>
    <a:bodyPr/>
    <a:lstStyle/>
    <a:p>
      <a:pPr>
        <a:defRPr sz="1800"/>
      </a:pPr>
      <a:endParaRPr lang="en-US"/>
    </a:p>
  </c:txPr>
</c:chartSpace>
</file>

<file path=word/charts/chart2.xml><?xml version="1.0" encoding="utf-8"?>
<c:chartSpace xmlns:c="http://schemas.openxmlformats.org/drawingml/2006/chart" xmlns:a="http://schemas.openxmlformats.org/drawingml/2006/main" xmlns:r="http://schemas.openxmlformats.org/officeDocument/2006/relationships">
  <c:date1904 val="0"/>
  <c:chart>
    <c:autoTitleDeleted val="0"/>
    <c:plotArea>
      <c:lineChart>
        <c:grouping val="standard"/>
        <c:varyColors val="0"/>
        <c:ser>
          <c:idx val="0"/>
          <c:order val="0"/>
          <c:tx>
            <c:strRef>
              <c:f>Sheet1!$B$1</c:f>
              <c:strCache>
                <c:ptCount val="1"/>
                <c:pt idx="0">
                  <c:v>North</c:v>
                </c:pt>
              </c:strCache>
            </c:strRef>
          </c:tx>
          <c:cat>
            <c:strRef>
              <c:f>Sheet1!$A$2:$A$5</c:f>
              <c:strCache>
                <c:ptCount val="4"/>
                <c:pt idx="0">
                  <c:v>Q1</c:v>
                </c:pt>
                <c:pt idx="1">
                  <c:v>Q2</c:v>
                </c:pt>
                <c:pt idx="2">
                  <c:v>Q3</c:v>
                </c:pt>
                <c:pt idx="3">
                  <c:v>Q4</c:v>
                </c:pt>
              </c:strCache>
            </c:strRef>
          </c:cat>
          <c:val>
            <c:numRef>
              <c:f>Sheet1!$B$2:$B$5</c:f>
              <c:numCache>
                <c:formatCode>General</c:formatCode>
                <c:ptCount val="4"/>
                <c:pt idx="0">
                  <c:v>120</c:v>
                </c:pt>
                <c:pt idx="1">
                  <c:v>150</c:v>
                </c:pt>
                <c:pt idx="2">
                  <c:v>170</c:v>
                </c:pt>
                <c:pt idx="3">
                  <c:v>140</c:v>
                </c:pt>
              </c:numCache>
            </c:numRef>
          </c:val>
          <c:smooth val="0"/>
        </c:ser>
        <c:ser>
          <c:idx val="1"/>
          <c:order val="1"/>
          <c:tx>
            <c:strRef>
              <c:f>Sheet1!$C$1</c:f>
              <c:strCache>
                <c:ptCount val="1"/>
                <c:pt idx="0">
                  <c:v>South</c:v>
                </c:pt>
              </c:strCache>
            </c:strRef>
          </c:tx>
          <c:cat>
            <c:strRef>
              <c:f>Sheet1!$A$2:$A$5</c:f>
              <c:strCache>
                <c:ptCount val="4"/>
                <c:pt idx="0">
                  <c:v>Q1</c:v>
                </c:pt>
                <c:pt idx="1">
                  <c:v>Q2</c:v>
                </c:pt>
                <c:pt idx="2">
                  <c:v>Q3</c:v>
                </c:pt>
                <c:pt idx="3">
                  <c:v>Q4</c:v>
                </c:pt>
              </c:strCache>
            </c:strRef>
          </c:cat>
          <c:val>
            <c:numRef>
              <c:f>Sheet1!$C$2:$C$5</c:f>
              <c:numCache>
                <c:formatCode>General</c:formatCode>
                <c:ptCount val="4"/>
                <c:pt idx="0">
                  <c:v>90</c:v>
                </c:pt>
                <c:pt idx="1">
                  <c:v>110</c:v>
                </c:pt>
                <c:pt idx="2">
                  <c:v>95</c:v>
                </c:pt>
                <c:pt idx="3">
                  <c:v>120</c:v>
                </c:pt>
              </c:numCache>
            </c:numRef>
          </c:val>
          <c:smooth val="0"/>
        </c:ser>
        <c:ser>
          <c:idx val="2"/>
          <c:order val="2"/>
          <c:tx>
            <c:strRef>
              <c:f>Sheet1!$D$1</c:f>
              <c:strCache>
                <c:ptCount val="1"/>
                <c:pt idx="0">
                  <c:v>East</c:v>
                </c:pt>
              </c:strCache>
            </c:strRef>
          </c:tx>
          <c:cat>
            <c:strRef>
              <c:f>Sheet1!$A$2:$A$5</c:f>
              <c:strCache>
                <c:ptCount val="4"/>
                <c:pt idx="0">
                  <c:v>Q1</c:v>
                </c:pt>
                <c:pt idx="1">
                  <c:v>Q2</c:v>
                </c:pt>
                <c:pt idx="2">
                  <c:v>Q3</c:v>
                </c:pt>
                <c:pt idx="3">
                  <c:v>Q4</c:v>
                </c:pt>
              </c:strCache>
            </c:strRef>
          </c:cat>
          <c:val>
            <c:numRef>
              <c:f>Sheet1!$D$2:$D$5</c:f>
              <c:numCache>
                <c:formatCode>General</c:formatCode>
                <c:ptCount val="4"/>
                <c:pt idx="0">
                  <c:v>60</c:v>
                </c:pt>
                <c:pt idx="1">
                  <c:v>80</c:v>
                </c:pt>
                <c:pt idx="2">
                  <c:v>130</c:v>
                </c:pt>
                <c:pt idx="3">
                  <c:v>150</c:v>
                </c:pt>
              </c:numCache>
            </c:numRef>
          </c:val>
          <c:smooth val="0"/>
        </c:ser>
        <c:marker val="1"/>
        <c:smooth val="0"/>
        <c:axId val="2118791784"/>
        <c:axId val="2140495176"/>
      </c:lineChart>
      <c:catAx>
        <c:axId val="2118791784"/>
        <c:scaling>
          <c:orientation val="minMax"/>
        </c:scaling>
        <c:delete val="0"/>
        <c:axPos val="b"/>
        <c:majorTickMark val="out"/>
        <c:minorTickMark val="none"/>
        <c:tickLblPos val="nextTo"/>
        <c:crossAx val="2140495176"/>
        <c:crosses val="autoZero"/>
        <c:auto val="1"/>
        <c:lblAlgn val="ctr"/>
        <c:lblOffset val="100"/>
        <c:noMultiLvlLbl val="0"/>
      </c:catAx>
      <c:valAx>
        <c:axId val="2140495176"/>
        <c:scaling/>
        <c:delete val="0"/>
        <c:axPos val="l"/>
        <c:majorGridlines/>
        <c:majorTickMark val="out"/>
        <c:minorTickMark val="none"/>
        <c:tickLblPos val="nextTo"/>
        <c:crossAx val="2118791784"/>
        <c:crosses val="autoZero"/>
      </c:valAx>
    </c:plotArea>
    <c:legend>
      <c:legendPos val="r"/>
      <c:layout/>
      <c:overlay val="0"/>
    </c:legend>
    <c:plotVisOnly val="1"/>
    <c:dispBlanksAs val="gap"/>
    <c:showDLblsOverMax val="0"/>
  </c:chart>
  <c:txPr>
    <a:bodyPr/>
    <a:lstStyle/>
    <a:p>
      <a:pPr>
        <a:defRPr sz="1800"/>
      </a:pPr>
      <a:endParaRPr lang="en-US"/>
    </a:p>
  </c:txPr>
</c:chartSpace>
</file>

<file path=word/charts/chart3.xml><?xml version="1.0" encoding="utf-8"?>
<c:chartSpace xmlns:c="http://schemas.openxmlformats.org/drawingml/2006/chart" xmlns:a="http://schemas.openxmlformats.org/drawingml/2006/main" xmlns:r="http://schemas.openxmlformats.org/officeDocument/2006/relationships">
  <c:chart>
    <c:autoTitleDeleted val="0"/>
    <c:plotArea>
      <c:pieChart>
        <c:varyColors val="1"/>
        <c:ser>
          <c:idx val="0"/>
          <c:order val="0"/>
          <c:tx>
            <c:strRef>
              <c:f>Sheet1!$B$1</c:f>
              <c:strCache>
                <c:ptCount val="1"/>
                <c:pt idx="0">
                  <c:v>North</c:v>
                </c:pt>
              </c:strCache>
            </c:strRef>
          </c:tx>
          <c:cat>
            <c:strRef>
              <c:f>Sheet1!$A$2:$A$5</c:f>
              <c:strCache>
                <c:ptCount val="4"/>
                <c:pt idx="0">
                  <c:v>Q1</c:v>
                </c:pt>
                <c:pt idx="1">
                  <c:v>Q2</c:v>
                </c:pt>
                <c:pt idx="2">
                  <c:v>Q3</c:v>
                </c:pt>
                <c:pt idx="3">
                  <c:v>Q4</c:v>
                </c:pt>
              </c:strCache>
            </c:strRef>
          </c:cat>
          <c:val>
            <c:numRef>
              <c:f>Sheet1!$B$2:$B$5</c:f>
              <c:numCache>
                <c:formatCode>General</c:formatCode>
                <c:ptCount val="4"/>
                <c:pt idx="0">
                  <c:v>120</c:v>
                </c:pt>
                <c:pt idx="1">
                  <c:v>150</c:v>
                </c:pt>
                <c:pt idx="2">
                  <c:v>170</c:v>
                </c:pt>
                <c:pt idx="3">
                  <c:v>140</c:v>
                </c:pt>
              </c:numCache>
            </c:numRef>
          </c:val>
        </c:ser>
      </c:pieChart>
    </c:plotArea>
    <c:dispBlanksAs val="gap"/>
  </c:chart>
  <c:txPr>
    <a:bodyPr/>
    <a:lstStyle/>
    <a:p>
      <a:pPr>
        <a:defRPr sz="1800"/>
      </a:pPr>
      <a:endParaRPr lang="en-US"/>
    </a:p>
  </c:txPr>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 full document</dc:title>
  <dc:subject/>
  <dc:creator>PiloOS</dc:creator>
  <cp:keywords/>
  <dc:description>generated by python-docx</dc:description>
  <cp:lastModifiedBy/>
  <cp:revision>1</cp:revision>
  <dcterms:created xsi:type="dcterms:W3CDTF">2013-12-23T23:15:00Z</dcterms:created>
  <dcterms:modified xsi:type="dcterms:W3CDTF">2013-12-23T23:15:00Z</dcterms:modified>
  <cp:category/>
</cp:coreProperties>
</file>