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4BC" w:rsidRDefault="004734BC" w:rsidP="004734BC">
      <w:pPr>
        <w:pStyle w:val="Title"/>
        <w:jc w:val="center"/>
      </w:pPr>
      <w:proofErr w:type="spellStart"/>
      <w:r>
        <w:t>Voojibox</w:t>
      </w:r>
      <w:proofErr w:type="spellEnd"/>
      <w:r>
        <w:t xml:space="preserve"> User Guide</w:t>
      </w:r>
    </w:p>
    <w:p w:rsidR="004734BC" w:rsidRDefault="003C721F" w:rsidP="003C721F">
      <w:pPr>
        <w:jc w:val="right"/>
      </w:pPr>
      <w:r>
        <w:t xml:space="preserve">8 March 2014 Rev – </w:t>
      </w:r>
    </w:p>
    <w:p w:rsidR="004734BC" w:rsidRDefault="004734BC" w:rsidP="004734BC"/>
    <w:p w:rsidR="004734BC" w:rsidRDefault="004734BC" w:rsidP="004734BC"/>
    <w:p w:rsidR="004734BC" w:rsidRDefault="002B3D70" w:rsidP="004734BC">
      <w:r>
        <w:rPr>
          <w:rFonts w:asciiTheme="majorHAnsi" w:eastAsiaTheme="majorEastAsia" w:hAnsiTheme="majorHAnsi" w:cstheme="majorBidi"/>
          <w:noProof/>
          <w:color w:val="17365D" w:themeColor="text2" w:themeShade="BF"/>
          <w:spacing w:val="5"/>
          <w:kern w:val="28"/>
          <w:sz w:val="52"/>
          <w:szCs w:val="52"/>
        </w:rPr>
        <w:drawing>
          <wp:anchor distT="0" distB="0" distL="114300" distR="114300" simplePos="0" relativeHeight="251658240" behindDoc="0" locked="0" layoutInCell="1" allowOverlap="1" wp14:anchorId="63F6A6AF" wp14:editId="08657D24">
            <wp:simplePos x="0" y="0"/>
            <wp:positionH relativeFrom="column">
              <wp:align>center</wp:align>
            </wp:positionH>
            <wp:positionV relativeFrom="paragraph">
              <wp:posOffset>1270</wp:posOffset>
            </wp:positionV>
            <wp:extent cx="5212715" cy="3903980"/>
            <wp:effectExtent l="0" t="0" r="698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86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2758" cy="3904488"/>
                    </a:xfrm>
                    <a:prstGeom prst="rect">
                      <a:avLst/>
                    </a:prstGeom>
                  </pic:spPr>
                </pic:pic>
              </a:graphicData>
            </a:graphic>
            <wp14:sizeRelH relativeFrom="margin">
              <wp14:pctWidth>0</wp14:pctWidth>
            </wp14:sizeRelH>
            <wp14:sizeRelV relativeFrom="margin">
              <wp14:pctHeight>0</wp14:pctHeight>
            </wp14:sizeRelV>
          </wp:anchor>
        </w:drawing>
      </w:r>
    </w:p>
    <w:p w:rsidR="004734BC" w:rsidRDefault="004734BC" w:rsidP="004734BC"/>
    <w:p w:rsidR="002B3D70" w:rsidRDefault="002B3D70" w:rsidP="002B3D70">
      <w:r>
        <w:t xml:space="preserve">Written </w:t>
      </w:r>
      <w:proofErr w:type="gramStart"/>
      <w:r>
        <w:t>by :</w:t>
      </w:r>
      <w:proofErr w:type="gramEnd"/>
    </w:p>
    <w:p w:rsidR="002B3D70" w:rsidRDefault="002B3D70" w:rsidP="002B3D70">
      <w:pPr>
        <w:spacing w:after="0"/>
        <w:ind w:left="720"/>
      </w:pPr>
      <w:r>
        <w:t xml:space="preserve">Edward Wojtaszek </w:t>
      </w:r>
      <w:proofErr w:type="spellStart"/>
      <w:r>
        <w:t>dba</w:t>
      </w:r>
      <w:proofErr w:type="spellEnd"/>
      <w:r>
        <w:t xml:space="preserve"> </w:t>
      </w:r>
      <w:proofErr w:type="spellStart"/>
      <w:r>
        <w:t>Vooji</w:t>
      </w:r>
      <w:proofErr w:type="spellEnd"/>
      <w:r>
        <w:t xml:space="preserve"> Designs</w:t>
      </w:r>
    </w:p>
    <w:p w:rsidR="002B3D70" w:rsidRDefault="002B3D70" w:rsidP="002B3D70">
      <w:pPr>
        <w:ind w:left="720"/>
      </w:pPr>
      <w:r>
        <w:t>votsek@yahoo.com</w:t>
      </w:r>
    </w:p>
    <w:p w:rsidR="004734BC" w:rsidRDefault="004734BC" w:rsidP="002B3D70"/>
    <w:p w:rsidR="002B3D70" w:rsidRDefault="002B3D70">
      <w:pPr>
        <w:rPr>
          <w:rFonts w:asciiTheme="majorHAnsi" w:eastAsiaTheme="majorEastAsia" w:hAnsiTheme="majorHAnsi" w:cstheme="majorBidi"/>
          <w:color w:val="17365D" w:themeColor="text2" w:themeShade="BF"/>
          <w:spacing w:val="5"/>
          <w:kern w:val="28"/>
          <w:sz w:val="52"/>
          <w:szCs w:val="52"/>
        </w:rPr>
      </w:pPr>
    </w:p>
    <w:p w:rsidR="00C63161" w:rsidRDefault="00C63161" w:rsidP="00B7392A">
      <w:pPr>
        <w:sectPr w:rsidR="00C63161">
          <w:pgSz w:w="12240" w:h="15840"/>
          <w:pgMar w:top="1440" w:right="1440" w:bottom="1440" w:left="1440" w:header="720" w:footer="720" w:gutter="0"/>
          <w:cols w:space="720"/>
          <w:docGrid w:linePitch="360"/>
        </w:sectPr>
      </w:pPr>
    </w:p>
    <w:p w:rsidR="00B00EBF" w:rsidRDefault="007E6AB5" w:rsidP="007E6AB5">
      <w:pPr>
        <w:pStyle w:val="Title"/>
      </w:pPr>
      <w:proofErr w:type="spellStart"/>
      <w:r>
        <w:lastRenderedPageBreak/>
        <w:t>Voojibox</w:t>
      </w:r>
      <w:proofErr w:type="spellEnd"/>
      <w:r>
        <w:t xml:space="preserve"> User Guide</w:t>
      </w:r>
    </w:p>
    <w:p w:rsidR="00BC6FE7" w:rsidRPr="00BC6FE7" w:rsidRDefault="00BC6FE7" w:rsidP="00BC6FE7">
      <w:r>
        <w:t>This document</w:t>
      </w:r>
      <w:r>
        <w:t xml:space="preserve"> </w:t>
      </w:r>
      <w:r>
        <w:t>is</w:t>
      </w:r>
      <w:r>
        <w:t xml:space="preserve"> provided </w:t>
      </w:r>
      <w:r>
        <w:t xml:space="preserve">for your personal use or for reuse </w:t>
      </w:r>
      <w:r>
        <w:t xml:space="preserve">under </w:t>
      </w:r>
      <w:hyperlink r:id="rId8" w:history="1">
        <w:r w:rsidRPr="00EA5D9A">
          <w:rPr>
            <w:rStyle w:val="Hyperlink"/>
          </w:rPr>
          <w:t>Creative C</w:t>
        </w:r>
        <w:r w:rsidRPr="00EA5D9A">
          <w:rPr>
            <w:rStyle w:val="Hyperlink"/>
          </w:rPr>
          <w:t>o</w:t>
        </w:r>
        <w:r w:rsidRPr="00EA5D9A">
          <w:rPr>
            <w:rStyle w:val="Hyperlink"/>
          </w:rPr>
          <w:t>mmons BY-NC-SA 3.0</w:t>
        </w:r>
      </w:hyperlink>
      <w:r>
        <w:t>.</w:t>
      </w:r>
    </w:p>
    <w:p w:rsidR="0072071E" w:rsidRDefault="0072071E" w:rsidP="007E6AB5">
      <w:pPr>
        <w:pStyle w:val="Heading1"/>
      </w:pPr>
      <w:r>
        <w:t>Introduction</w:t>
      </w:r>
    </w:p>
    <w:p w:rsidR="0072071E" w:rsidRDefault="0072071E" w:rsidP="0072071E">
      <w:r>
        <w:t xml:space="preserve">The </w:t>
      </w:r>
      <w:proofErr w:type="spellStart"/>
      <w:r>
        <w:t>Voojibox</w:t>
      </w:r>
      <w:proofErr w:type="spellEnd"/>
      <w:r>
        <w:t xml:space="preserve"> has simple controls and connections. Please familiarize yourself with these controls and connections before using the device.</w:t>
      </w:r>
      <w:r w:rsidR="005847D6">
        <w:t xml:space="preserve"> The following photo shows the controls. It also shows the position </w:t>
      </w:r>
      <w:bookmarkStart w:id="0" w:name="_GoBack"/>
      <w:r w:rsidR="005847D6">
        <w:t>of the latches that must be released initially to connect the battery.</w:t>
      </w:r>
    </w:p>
    <w:bookmarkEnd w:id="0"/>
    <w:p w:rsidR="0072071E" w:rsidRPr="0072071E" w:rsidRDefault="005847D6" w:rsidP="0072071E">
      <w:r>
        <w:rPr>
          <w:noProof/>
        </w:rPr>
        <w:drawing>
          <wp:inline distT="0" distB="0" distL="0" distR="0" wp14:anchorId="2E4097B2" wp14:editId="7F084ED8">
            <wp:extent cx="5943600" cy="4866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jibox top view.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66640"/>
                    </a:xfrm>
                    <a:prstGeom prst="rect">
                      <a:avLst/>
                    </a:prstGeom>
                  </pic:spPr>
                </pic:pic>
              </a:graphicData>
            </a:graphic>
          </wp:inline>
        </w:drawing>
      </w:r>
    </w:p>
    <w:p w:rsidR="004734BC" w:rsidRDefault="004734BC">
      <w:r>
        <w:br w:type="page"/>
      </w:r>
    </w:p>
    <w:p w:rsidR="005847D6" w:rsidRDefault="004734BC" w:rsidP="004734BC">
      <w:r>
        <w:lastRenderedPageBreak/>
        <w:t>The next photo shows the location of the external connectors. The Horn Cable Connector is polarized and can only be connected one way. The Charger Connector is wired to be used with the charger provided. Use of any other charger may cause damage or may create a dangerous condition.</w:t>
      </w:r>
    </w:p>
    <w:p w:rsidR="004734BC" w:rsidRDefault="004734BC" w:rsidP="004734BC">
      <w:r>
        <w:rPr>
          <w:noProof/>
        </w:rPr>
        <w:drawing>
          <wp:inline distT="0" distB="0" distL="0" distR="0" wp14:anchorId="7CC5A3BC" wp14:editId="45275975">
            <wp:extent cx="4614672" cy="35173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ojibox side view.jpg"/>
                    <pic:cNvPicPr/>
                  </pic:nvPicPr>
                  <pic:blipFill>
                    <a:blip r:embed="rId10">
                      <a:extLst>
                        <a:ext uri="{28A0092B-C50C-407E-A947-70E740481C1C}">
                          <a14:useLocalDpi xmlns:a14="http://schemas.microsoft.com/office/drawing/2010/main" val="0"/>
                        </a:ext>
                      </a:extLst>
                    </a:blip>
                    <a:stretch>
                      <a:fillRect/>
                    </a:stretch>
                  </pic:blipFill>
                  <pic:spPr>
                    <a:xfrm>
                      <a:off x="0" y="0"/>
                      <a:ext cx="4614672" cy="3517392"/>
                    </a:xfrm>
                    <a:prstGeom prst="rect">
                      <a:avLst/>
                    </a:prstGeom>
                  </pic:spPr>
                </pic:pic>
              </a:graphicData>
            </a:graphic>
          </wp:inline>
        </w:drawing>
      </w:r>
    </w:p>
    <w:p w:rsidR="007E6AB5" w:rsidRDefault="007E6AB5" w:rsidP="007E6AB5">
      <w:pPr>
        <w:pStyle w:val="Heading1"/>
      </w:pPr>
      <w:r>
        <w:t>Initial Setup</w:t>
      </w:r>
    </w:p>
    <w:p w:rsidR="007E6AB5" w:rsidRDefault="007E6AB5" w:rsidP="007E6AB5">
      <w:r>
        <w:t xml:space="preserve">When you receive your </w:t>
      </w:r>
      <w:proofErr w:type="spellStart"/>
      <w:r>
        <w:t>Voojibox</w:t>
      </w:r>
      <w:proofErr w:type="spellEnd"/>
      <w:r>
        <w:t xml:space="preserve"> the battery must be connected and charged. Open the </w:t>
      </w:r>
      <w:proofErr w:type="spellStart"/>
      <w:r>
        <w:t>Voojibox</w:t>
      </w:r>
      <w:proofErr w:type="spellEnd"/>
      <w:r>
        <w:t xml:space="preserve"> case by lifting the latch tabs on three sides of the case. In addition to lifting the black latch tabs, you will also need to lift the black plastic latches away from the box.</w:t>
      </w:r>
    </w:p>
    <w:p w:rsidR="007E6AB5" w:rsidRDefault="007E6AB5" w:rsidP="007E6AB5">
      <w:r>
        <w:t>Open the case and remove the packing material that is on top of the battery. Locate the white and black wires with the quick connect plugs. Connect the white wire to the positive (+) battery terminal and the black wire to the negative (-) battery terminal. Double check the connectors to be certain that they are attached to the correct battery terminals.</w:t>
      </w:r>
    </w:p>
    <w:p w:rsidR="007E6AB5" w:rsidRDefault="007E6AB5" w:rsidP="007E6AB5">
      <w:r>
        <w:t>Close the case lid, being careful to avoid pinching the wires in the case seal since this can damage the wires. Turn the latches down over the latch seats on the bottom part of the case and flip the latch tabs up to the locked position.</w:t>
      </w:r>
    </w:p>
    <w:p w:rsidR="007E6AB5" w:rsidRDefault="007E6AB5" w:rsidP="007E6AB5">
      <w:r>
        <w:t>The unit must be charges before first use. It is recommended that you charge in an open area away from flammable materials.</w:t>
      </w:r>
      <w:r w:rsidR="007F4152">
        <w:t xml:space="preserve"> The </w:t>
      </w:r>
      <w:proofErr w:type="spellStart"/>
      <w:proofErr w:type="gramStart"/>
      <w:r w:rsidR="007F4152">
        <w:t>Vo</w:t>
      </w:r>
      <w:r w:rsidR="006B2565">
        <w:t>ojibox</w:t>
      </w:r>
      <w:proofErr w:type="spellEnd"/>
      <w:r w:rsidR="006B2565">
        <w:t xml:space="preserve">  power</w:t>
      </w:r>
      <w:proofErr w:type="gramEnd"/>
      <w:r w:rsidR="006B2565">
        <w:t xml:space="preserve"> switch must be in the “Charge/Off</w:t>
      </w:r>
      <w:r w:rsidR="007F4152">
        <w:t>”</w:t>
      </w:r>
      <w:r w:rsidR="006B2565">
        <w:t xml:space="preserve"> position</w:t>
      </w:r>
      <w:r w:rsidR="007F4152">
        <w:t xml:space="preserve">. Connect the charger to the </w:t>
      </w:r>
      <w:proofErr w:type="spellStart"/>
      <w:r w:rsidR="007F4152">
        <w:t>Voojibox</w:t>
      </w:r>
      <w:proofErr w:type="spellEnd"/>
      <w:r w:rsidR="007F4152">
        <w:t xml:space="preserve"> using the coaxial charging plug on the side of the unit. Plug the charger block into a standard 115v wall outlet to charge. The initial charge may require eight hours or more.</w:t>
      </w:r>
    </w:p>
    <w:p w:rsidR="007F4152" w:rsidRDefault="007F4152" w:rsidP="007E6AB5">
      <w:r>
        <w:lastRenderedPageBreak/>
        <w:t xml:space="preserve">After charging, disconnect the charger from the </w:t>
      </w:r>
      <w:proofErr w:type="spellStart"/>
      <w:r>
        <w:t>Voojibox</w:t>
      </w:r>
      <w:proofErr w:type="spellEnd"/>
      <w:r>
        <w:t xml:space="preserve"> and the wall outlet. The </w:t>
      </w:r>
      <w:proofErr w:type="spellStart"/>
      <w:r>
        <w:t>Voojibox</w:t>
      </w:r>
      <w:proofErr w:type="spellEnd"/>
      <w:r>
        <w:t xml:space="preserve"> is now ready for use.</w:t>
      </w:r>
    </w:p>
    <w:p w:rsidR="007F4152" w:rsidRDefault="007F4152" w:rsidP="007F4152">
      <w:pPr>
        <w:pStyle w:val="Heading1"/>
      </w:pPr>
      <w:r>
        <w:t>Race Setup</w:t>
      </w:r>
    </w:p>
    <w:p w:rsidR="007F4152" w:rsidRDefault="007F4152" w:rsidP="007F4152">
      <w:r>
        <w:t xml:space="preserve">Place the </w:t>
      </w:r>
      <w:proofErr w:type="spellStart"/>
      <w:r>
        <w:t>Voojibox</w:t>
      </w:r>
      <w:proofErr w:type="spellEnd"/>
      <w:r>
        <w:t xml:space="preserve"> in a sturdy location on a console or the deck of the committee boat. </w:t>
      </w:r>
      <w:proofErr w:type="spellStart"/>
      <w:r>
        <w:t>Voojibox</w:t>
      </w:r>
      <w:proofErr w:type="spellEnd"/>
      <w:r>
        <w:t xml:space="preserve"> is not waterproof. Avoid placing it in a location where it will be hit by driving rain or salt water spray.</w:t>
      </w:r>
    </w:p>
    <w:p w:rsidR="007F4152" w:rsidRDefault="007F4152" w:rsidP="007F4152">
      <w:r>
        <w:t xml:space="preserve">Connect the </w:t>
      </w:r>
      <w:proofErr w:type="spellStart"/>
      <w:r>
        <w:t>Voojibox</w:t>
      </w:r>
      <w:proofErr w:type="spellEnd"/>
      <w:r>
        <w:t xml:space="preserve"> to the </w:t>
      </w:r>
      <w:r w:rsidR="006B2565">
        <w:t>horn system. Turn the device “On</w:t>
      </w:r>
      <w:r>
        <w:t>”. The green LED should be lit.</w:t>
      </w:r>
    </w:p>
    <w:p w:rsidR="007F4152" w:rsidRDefault="007F4152" w:rsidP="007F4152">
      <w:r>
        <w:t xml:space="preserve">Select the start signal sequence. The </w:t>
      </w:r>
      <w:proofErr w:type="spellStart"/>
      <w:r>
        <w:t>Voojibox</w:t>
      </w:r>
      <w:proofErr w:type="spellEnd"/>
      <w:r>
        <w:t xml:space="preserve"> will “remember” the previously selected sequence since the last power off. Verify that the remembered sequence is the one desired. If it is, the </w:t>
      </w:r>
      <w:proofErr w:type="spellStart"/>
      <w:r w:rsidR="000557E4">
        <w:t>Voojibox</w:t>
      </w:r>
      <w:proofErr w:type="spellEnd"/>
      <w:r w:rsidR="000557E4">
        <w:t xml:space="preserve"> is ready to start the first race.</w:t>
      </w:r>
    </w:p>
    <w:p w:rsidR="000557E4" w:rsidRDefault="000557E4" w:rsidP="007F4152">
      <w:r>
        <w:t>If the remembered sequence is not the one to be used, use the Mode button to select the sequence desired.</w:t>
      </w:r>
      <w:r w:rsidR="006B2565">
        <w:t xml:space="preserve"> The standard sequences are shown in the table below.</w:t>
      </w:r>
      <w:r>
        <w:t xml:space="preserve"> The sequence is indicated by the yellow and red LEDs. The yellow LED, when lit, indicates that the signal sequence will be repeated as a rolling start. The red LED blinks to indicate the selected signal sequence as shown in the table.</w:t>
      </w:r>
      <w:r w:rsidR="0025062A">
        <w:t xml:space="preserve"> To set the mode, press and hold the Mode button for at least one second. You will see the yellow LED change state or blink once to indicate that the mode has been changed. Perform this button sequence to step through the available modes. After the last mode, the </w:t>
      </w:r>
      <w:proofErr w:type="spellStart"/>
      <w:r w:rsidR="0025062A">
        <w:t>Voojibox</w:t>
      </w:r>
      <w:proofErr w:type="spellEnd"/>
      <w:r w:rsidR="0025062A">
        <w:t xml:space="preserve"> will cycle back to the first mode.</w:t>
      </w:r>
    </w:p>
    <w:tbl>
      <w:tblPr>
        <w:tblStyle w:val="TableGrid"/>
        <w:tblpPr w:leftFromText="187" w:rightFromText="187" w:topFromText="1440" w:vertAnchor="text" w:horzAnchor="margin" w:tblpY="1"/>
        <w:tblOverlap w:val="never"/>
        <w:tblW w:w="9738" w:type="dxa"/>
        <w:tblLayout w:type="fixed"/>
        <w:tblLook w:val="04A0" w:firstRow="1" w:lastRow="0" w:firstColumn="1" w:lastColumn="0" w:noHBand="0" w:noVBand="1"/>
      </w:tblPr>
      <w:tblGrid>
        <w:gridCol w:w="1404"/>
        <w:gridCol w:w="6620"/>
        <w:gridCol w:w="814"/>
        <w:gridCol w:w="900"/>
      </w:tblGrid>
      <w:tr w:rsidR="00CA1766" w:rsidRPr="006C40D3" w:rsidTr="00CA1766">
        <w:trPr>
          <w:cantSplit/>
        </w:trPr>
        <w:tc>
          <w:tcPr>
            <w:tcW w:w="9738" w:type="dxa"/>
            <w:gridSpan w:val="4"/>
          </w:tcPr>
          <w:p w:rsidR="00CA1766" w:rsidRPr="006C40D3" w:rsidRDefault="00CA1766" w:rsidP="00CA1766">
            <w:pPr>
              <w:rPr>
                <w:b/>
              </w:rPr>
            </w:pPr>
            <w:r w:rsidRPr="00CA1766">
              <w:rPr>
                <w:b/>
                <w:i/>
              </w:rPr>
              <w:lastRenderedPageBreak/>
              <w:t xml:space="preserve">Table 1 – </w:t>
            </w:r>
            <w:proofErr w:type="spellStart"/>
            <w:r w:rsidRPr="00CA1766">
              <w:rPr>
                <w:b/>
                <w:i/>
              </w:rPr>
              <w:t>Voojibox</w:t>
            </w:r>
            <w:proofErr w:type="spellEnd"/>
            <w:r w:rsidRPr="00CA1766">
              <w:rPr>
                <w:b/>
                <w:i/>
              </w:rPr>
              <w:t xml:space="preserve"> Modes and LED Indicators</w:t>
            </w:r>
          </w:p>
        </w:tc>
      </w:tr>
      <w:tr w:rsidR="00CA1766" w:rsidRPr="006C40D3" w:rsidTr="00CA1766">
        <w:trPr>
          <w:cantSplit/>
        </w:trPr>
        <w:tc>
          <w:tcPr>
            <w:tcW w:w="1404" w:type="dxa"/>
          </w:tcPr>
          <w:p w:rsidR="00CA1766" w:rsidRPr="006C40D3" w:rsidRDefault="00CA1766" w:rsidP="00CA1766">
            <w:pPr>
              <w:jc w:val="center"/>
              <w:rPr>
                <w:b/>
              </w:rPr>
            </w:pPr>
            <w:r w:rsidRPr="006C40D3">
              <w:rPr>
                <w:b/>
              </w:rPr>
              <w:t>Mode</w:t>
            </w:r>
          </w:p>
        </w:tc>
        <w:tc>
          <w:tcPr>
            <w:tcW w:w="6620" w:type="dxa"/>
          </w:tcPr>
          <w:p w:rsidR="00CA1766" w:rsidRPr="006C40D3" w:rsidRDefault="00CA1766" w:rsidP="00CA1766">
            <w:pPr>
              <w:rPr>
                <w:b/>
              </w:rPr>
            </w:pPr>
            <w:r w:rsidRPr="006C40D3">
              <w:rPr>
                <w:b/>
              </w:rPr>
              <w:t>Selected Sequence</w:t>
            </w:r>
          </w:p>
        </w:tc>
        <w:tc>
          <w:tcPr>
            <w:tcW w:w="814" w:type="dxa"/>
          </w:tcPr>
          <w:p w:rsidR="00CA1766" w:rsidRPr="006C40D3" w:rsidRDefault="00CA1766" w:rsidP="00CA1766">
            <w:pPr>
              <w:jc w:val="center"/>
              <w:rPr>
                <w:b/>
              </w:rPr>
            </w:pPr>
            <w:r w:rsidRPr="006C40D3">
              <w:rPr>
                <w:b/>
              </w:rPr>
              <w:t>Red</w:t>
            </w:r>
          </w:p>
          <w:p w:rsidR="00CA1766" w:rsidRPr="006C40D3" w:rsidRDefault="00CA1766" w:rsidP="00CA1766">
            <w:pPr>
              <w:jc w:val="center"/>
              <w:rPr>
                <w:b/>
              </w:rPr>
            </w:pPr>
            <w:r w:rsidRPr="006C40D3">
              <w:rPr>
                <w:b/>
              </w:rPr>
              <w:t>Blinks</w:t>
            </w:r>
          </w:p>
        </w:tc>
        <w:tc>
          <w:tcPr>
            <w:tcW w:w="900" w:type="dxa"/>
          </w:tcPr>
          <w:p w:rsidR="00CA1766" w:rsidRPr="006C40D3" w:rsidRDefault="00CA1766" w:rsidP="00CA1766">
            <w:pPr>
              <w:jc w:val="center"/>
              <w:rPr>
                <w:b/>
              </w:rPr>
            </w:pPr>
            <w:r w:rsidRPr="006C40D3">
              <w:rPr>
                <w:b/>
              </w:rPr>
              <w:t>Yellow</w:t>
            </w:r>
          </w:p>
        </w:tc>
      </w:tr>
      <w:tr w:rsidR="00CA1766" w:rsidTr="00CA1766">
        <w:trPr>
          <w:cantSplit/>
        </w:trPr>
        <w:tc>
          <w:tcPr>
            <w:tcW w:w="1404" w:type="dxa"/>
          </w:tcPr>
          <w:p w:rsidR="00CA1766" w:rsidRDefault="00CA1766" w:rsidP="00CA1766">
            <w:pPr>
              <w:jc w:val="center"/>
            </w:pPr>
            <w:r>
              <w:t>0</w:t>
            </w:r>
          </w:p>
        </w:tc>
        <w:tc>
          <w:tcPr>
            <w:tcW w:w="6620" w:type="dxa"/>
          </w:tcPr>
          <w:p w:rsidR="00CA1766" w:rsidRDefault="00CA1766" w:rsidP="00CA1766">
            <w:r>
              <w:t>T</w:t>
            </w:r>
            <w:r w:rsidRPr="000557E4">
              <w:t xml:space="preserve">he starting sequence is three minutes long. The sequence is </w:t>
            </w:r>
            <w:r>
              <w:t xml:space="preserve">as specified in </w:t>
            </w:r>
            <w:r w:rsidRPr="000557E4">
              <w:t>Appendix</w:t>
            </w:r>
            <w:r>
              <w:t xml:space="preserve"> </w:t>
            </w:r>
            <w:r w:rsidRPr="000557E4">
              <w:t xml:space="preserve">S, Sound-Signal Starting System, </w:t>
            </w:r>
            <w:r>
              <w:t xml:space="preserve">The Racing Rules of Sailing for 2013 - 2016, </w:t>
            </w:r>
            <w:proofErr w:type="gramStart"/>
            <w:r>
              <w:t>U.S</w:t>
            </w:r>
            <w:proofErr w:type="gramEnd"/>
            <w:r>
              <w:t>. Sailing. A long signal is made at (t-0) to signal the start of the race.</w:t>
            </w:r>
          </w:p>
        </w:tc>
        <w:tc>
          <w:tcPr>
            <w:tcW w:w="814" w:type="dxa"/>
          </w:tcPr>
          <w:p w:rsidR="00CA1766" w:rsidRDefault="00CA1766" w:rsidP="00CA1766">
            <w:pPr>
              <w:jc w:val="center"/>
            </w:pPr>
            <w:r>
              <w:t>1</w:t>
            </w:r>
          </w:p>
        </w:tc>
        <w:tc>
          <w:tcPr>
            <w:tcW w:w="900" w:type="dxa"/>
          </w:tcPr>
          <w:p w:rsidR="00CA1766" w:rsidRDefault="00CA1766" w:rsidP="00CA1766">
            <w:pPr>
              <w:jc w:val="center"/>
            </w:pPr>
            <w:r>
              <w:t>OFF</w:t>
            </w:r>
          </w:p>
        </w:tc>
      </w:tr>
      <w:tr w:rsidR="00CA1766" w:rsidTr="00CA1766">
        <w:trPr>
          <w:cantSplit/>
        </w:trPr>
        <w:tc>
          <w:tcPr>
            <w:tcW w:w="1404" w:type="dxa"/>
          </w:tcPr>
          <w:p w:rsidR="00CA1766" w:rsidRPr="000557E4" w:rsidRDefault="00CA1766" w:rsidP="00CA1766">
            <w:pPr>
              <w:jc w:val="center"/>
            </w:pPr>
            <w:r>
              <w:t>1</w:t>
            </w:r>
          </w:p>
        </w:tc>
        <w:tc>
          <w:tcPr>
            <w:tcW w:w="6620" w:type="dxa"/>
          </w:tcPr>
          <w:p w:rsidR="00CA1766" w:rsidRDefault="00CA1766" w:rsidP="00CA1766">
            <w:r>
              <w:t>Same as Mode 0, but the sequence repeats. T</w:t>
            </w:r>
            <w:r w:rsidRPr="000557E4">
              <w:t>he start of the t</w:t>
            </w:r>
            <w:r>
              <w:t xml:space="preserve">hree minute interval for fleets subsequent </w:t>
            </w:r>
            <w:r w:rsidRPr="000557E4">
              <w:t xml:space="preserve">to the first </w:t>
            </w:r>
            <w:r>
              <w:t>is</w:t>
            </w:r>
            <w:r w:rsidRPr="000557E4">
              <w:t xml:space="preserve"> the long start signal at </w:t>
            </w:r>
            <w:r>
              <w:t>(</w:t>
            </w:r>
            <w:r w:rsidRPr="000557E4">
              <w:t>t-0</w:t>
            </w:r>
            <w:r>
              <w:t>).</w:t>
            </w:r>
          </w:p>
        </w:tc>
        <w:tc>
          <w:tcPr>
            <w:tcW w:w="814" w:type="dxa"/>
          </w:tcPr>
          <w:p w:rsidR="00CA1766" w:rsidRDefault="00CA1766" w:rsidP="00CA1766">
            <w:pPr>
              <w:jc w:val="center"/>
            </w:pPr>
            <w:r>
              <w:t>1</w:t>
            </w:r>
          </w:p>
        </w:tc>
        <w:tc>
          <w:tcPr>
            <w:tcW w:w="900" w:type="dxa"/>
          </w:tcPr>
          <w:p w:rsidR="00CA1766" w:rsidRDefault="00CA1766" w:rsidP="00CA1766">
            <w:pPr>
              <w:jc w:val="center"/>
            </w:pPr>
            <w:r>
              <w:t>ON</w:t>
            </w:r>
          </w:p>
        </w:tc>
      </w:tr>
      <w:tr w:rsidR="00CA1766" w:rsidTr="00CA1766">
        <w:trPr>
          <w:cantSplit/>
        </w:trPr>
        <w:tc>
          <w:tcPr>
            <w:tcW w:w="1404" w:type="dxa"/>
          </w:tcPr>
          <w:p w:rsidR="00CA1766" w:rsidRDefault="00CA1766" w:rsidP="00CA1766">
            <w:pPr>
              <w:jc w:val="center"/>
            </w:pPr>
            <w:r>
              <w:t>2</w:t>
            </w:r>
          </w:p>
        </w:tc>
        <w:tc>
          <w:tcPr>
            <w:tcW w:w="6620" w:type="dxa"/>
          </w:tcPr>
          <w:p w:rsidR="00CA1766" w:rsidRDefault="00CA1766" w:rsidP="00CA1766">
            <w:r>
              <w:t>U</w:t>
            </w:r>
            <w:r w:rsidRPr="00C76945">
              <w:t>se</w:t>
            </w:r>
            <w:r>
              <w:t>s</w:t>
            </w:r>
            <w:r w:rsidRPr="00C76945">
              <w:t xml:space="preserve"> the Racing Rule</w:t>
            </w:r>
            <w:r>
              <w:t>s</w:t>
            </w:r>
            <w:r w:rsidRPr="00C76945">
              <w:t xml:space="preserve"> of Sailing Rule 2</w:t>
            </w:r>
            <w:r>
              <w:t xml:space="preserve">6 signaling. Sound signals are </w:t>
            </w:r>
            <w:r w:rsidRPr="00C76945">
              <w:t>made at (t-5), (t-4),</w:t>
            </w:r>
            <w:r>
              <w:t xml:space="preserve"> </w:t>
            </w:r>
            <w:r w:rsidRPr="00C76945">
              <w:t>(t-1), and at the start (t-0).</w:t>
            </w:r>
          </w:p>
        </w:tc>
        <w:tc>
          <w:tcPr>
            <w:tcW w:w="814" w:type="dxa"/>
          </w:tcPr>
          <w:p w:rsidR="00CA1766" w:rsidRDefault="00CA1766" w:rsidP="00CA1766">
            <w:pPr>
              <w:jc w:val="center"/>
            </w:pPr>
            <w:r>
              <w:t>2</w:t>
            </w:r>
          </w:p>
        </w:tc>
        <w:tc>
          <w:tcPr>
            <w:tcW w:w="900" w:type="dxa"/>
          </w:tcPr>
          <w:p w:rsidR="00CA1766" w:rsidRDefault="00CA1766" w:rsidP="00CA1766">
            <w:pPr>
              <w:jc w:val="center"/>
            </w:pPr>
            <w:r>
              <w:t>OFF</w:t>
            </w:r>
          </w:p>
        </w:tc>
      </w:tr>
      <w:tr w:rsidR="00CA1766" w:rsidTr="00CA1766">
        <w:trPr>
          <w:cantSplit/>
        </w:trPr>
        <w:tc>
          <w:tcPr>
            <w:tcW w:w="1404" w:type="dxa"/>
          </w:tcPr>
          <w:p w:rsidR="00CA1766" w:rsidRDefault="00CA1766" w:rsidP="00CA1766">
            <w:pPr>
              <w:jc w:val="center"/>
            </w:pPr>
            <w:r>
              <w:t>3</w:t>
            </w:r>
          </w:p>
        </w:tc>
        <w:tc>
          <w:tcPr>
            <w:tcW w:w="6620" w:type="dxa"/>
          </w:tcPr>
          <w:p w:rsidR="00CA1766" w:rsidRDefault="00CA1766" w:rsidP="00CA1766">
            <w:r>
              <w:t>Th</w:t>
            </w:r>
            <w:r w:rsidRPr="00C76945">
              <w:t xml:space="preserve">e </w:t>
            </w:r>
            <w:r>
              <w:t xml:space="preserve">Mode 2 </w:t>
            </w:r>
            <w:r w:rsidRPr="00C76945">
              <w:t>sequence repeats wi</w:t>
            </w:r>
            <w:r>
              <w:t xml:space="preserve">th the start of the five minute </w:t>
            </w:r>
            <w:r w:rsidRPr="00C76945">
              <w:t>interval (t-5) being the start signal of the previous fleet at (t-0)</w:t>
            </w:r>
            <w:r>
              <w:t>.</w:t>
            </w:r>
          </w:p>
        </w:tc>
        <w:tc>
          <w:tcPr>
            <w:tcW w:w="814" w:type="dxa"/>
          </w:tcPr>
          <w:p w:rsidR="00CA1766" w:rsidRDefault="00CA1766" w:rsidP="00CA1766">
            <w:pPr>
              <w:jc w:val="center"/>
            </w:pPr>
            <w:r>
              <w:t>2</w:t>
            </w:r>
          </w:p>
        </w:tc>
        <w:tc>
          <w:tcPr>
            <w:tcW w:w="900" w:type="dxa"/>
          </w:tcPr>
          <w:p w:rsidR="00CA1766" w:rsidRDefault="00CA1766" w:rsidP="00CA1766">
            <w:pPr>
              <w:jc w:val="center"/>
            </w:pPr>
            <w:r>
              <w:t>ON</w:t>
            </w:r>
          </w:p>
        </w:tc>
      </w:tr>
      <w:tr w:rsidR="00CA1766" w:rsidTr="00CA1766">
        <w:trPr>
          <w:cantSplit/>
        </w:trPr>
        <w:tc>
          <w:tcPr>
            <w:tcW w:w="1404" w:type="dxa"/>
          </w:tcPr>
          <w:p w:rsidR="00CA1766" w:rsidRDefault="00CA1766" w:rsidP="00CA1766">
            <w:pPr>
              <w:jc w:val="center"/>
            </w:pPr>
            <w:r>
              <w:t>4</w:t>
            </w:r>
          </w:p>
        </w:tc>
        <w:tc>
          <w:tcPr>
            <w:tcW w:w="6620" w:type="dxa"/>
          </w:tcPr>
          <w:p w:rsidR="00CA1766" w:rsidRDefault="00CA1766" w:rsidP="00CA1766">
            <w:r>
              <w:t>Us</w:t>
            </w:r>
            <w:r w:rsidRPr="006C40D3">
              <w:t>e</w:t>
            </w:r>
            <w:r>
              <w:t>s</w:t>
            </w:r>
            <w:r w:rsidRPr="006C40D3">
              <w:t xml:space="preserve"> the Racing Rules of Sailing Rule 29.2.</w:t>
            </w:r>
            <w:r>
              <w:t xml:space="preserve"> The first sound signal is made at (t-6), </w:t>
            </w:r>
            <w:r w:rsidRPr="006C40D3">
              <w:t xml:space="preserve">consisting of two long </w:t>
            </w:r>
            <w:r>
              <w:t>blasts</w:t>
            </w:r>
            <w:r w:rsidRPr="006C40D3">
              <w:t>. At (t-5), signaling reverts to Rule 26</w:t>
            </w:r>
            <w:r>
              <w:t>.</w:t>
            </w:r>
          </w:p>
        </w:tc>
        <w:tc>
          <w:tcPr>
            <w:tcW w:w="814" w:type="dxa"/>
          </w:tcPr>
          <w:p w:rsidR="00CA1766" w:rsidRDefault="00CA1766" w:rsidP="00CA1766">
            <w:pPr>
              <w:jc w:val="center"/>
            </w:pPr>
            <w:r>
              <w:t>3</w:t>
            </w:r>
          </w:p>
        </w:tc>
        <w:tc>
          <w:tcPr>
            <w:tcW w:w="900" w:type="dxa"/>
          </w:tcPr>
          <w:p w:rsidR="00CA1766" w:rsidRDefault="00CA1766" w:rsidP="00CA1766">
            <w:pPr>
              <w:jc w:val="center"/>
            </w:pPr>
            <w:r>
              <w:t>OFF</w:t>
            </w:r>
          </w:p>
        </w:tc>
      </w:tr>
      <w:tr w:rsidR="00CA1766" w:rsidTr="00CA1766">
        <w:trPr>
          <w:cantSplit/>
        </w:trPr>
        <w:tc>
          <w:tcPr>
            <w:tcW w:w="1404" w:type="dxa"/>
          </w:tcPr>
          <w:p w:rsidR="00CA1766" w:rsidRDefault="00CA1766" w:rsidP="00CA1766">
            <w:pPr>
              <w:jc w:val="center"/>
            </w:pPr>
            <w:r>
              <w:t>5</w:t>
            </w:r>
          </w:p>
        </w:tc>
        <w:tc>
          <w:tcPr>
            <w:tcW w:w="6620" w:type="dxa"/>
          </w:tcPr>
          <w:p w:rsidR="00CA1766" w:rsidRDefault="00CA1766" w:rsidP="00CA1766">
            <w:r>
              <w:t>This rolling variant of Mode 4 uses the signaling of Mode 4 for the first start. After the first start signal at (t-0), the signaling reverts to Mode 3.</w:t>
            </w:r>
            <w:r w:rsidRPr="006C40D3">
              <w:t xml:space="preserve"> </w:t>
            </w:r>
            <w:r>
              <w:t>That is, the</w:t>
            </w:r>
            <w:r w:rsidRPr="006C40D3">
              <w:t xml:space="preserve"> start of the five minute interval (t-5) </w:t>
            </w:r>
            <w:r>
              <w:t>is</w:t>
            </w:r>
            <w:r w:rsidRPr="006C40D3">
              <w:t xml:space="preserve"> the start signal of the previous fleet at (t-0).</w:t>
            </w:r>
          </w:p>
        </w:tc>
        <w:tc>
          <w:tcPr>
            <w:tcW w:w="814" w:type="dxa"/>
          </w:tcPr>
          <w:p w:rsidR="00CA1766" w:rsidRDefault="00CA1766" w:rsidP="00CA1766">
            <w:pPr>
              <w:jc w:val="center"/>
            </w:pPr>
            <w:r>
              <w:t>3</w:t>
            </w:r>
          </w:p>
        </w:tc>
        <w:tc>
          <w:tcPr>
            <w:tcW w:w="900" w:type="dxa"/>
          </w:tcPr>
          <w:p w:rsidR="00CA1766" w:rsidRDefault="00CA1766" w:rsidP="00CA1766">
            <w:pPr>
              <w:jc w:val="center"/>
            </w:pPr>
            <w:r>
              <w:t>ON</w:t>
            </w:r>
          </w:p>
        </w:tc>
      </w:tr>
      <w:tr w:rsidR="00CA1766" w:rsidTr="00CA1766">
        <w:trPr>
          <w:cantSplit/>
        </w:trPr>
        <w:tc>
          <w:tcPr>
            <w:tcW w:w="1404" w:type="dxa"/>
          </w:tcPr>
          <w:p w:rsidR="00CA1766" w:rsidRDefault="00CA1766" w:rsidP="00CA1766">
            <w:pPr>
              <w:jc w:val="center"/>
            </w:pPr>
            <w:r>
              <w:t>6</w:t>
            </w:r>
          </w:p>
        </w:tc>
        <w:tc>
          <w:tcPr>
            <w:tcW w:w="6620" w:type="dxa"/>
          </w:tcPr>
          <w:p w:rsidR="00CA1766" w:rsidRDefault="00CA1766" w:rsidP="00CA1766">
            <w:r>
              <w:t xml:space="preserve">This is </w:t>
            </w:r>
            <w:r w:rsidRPr="006C40D3">
              <w:t>a special rolling mode call</w:t>
            </w:r>
            <w:r>
              <w:t>ed</w:t>
            </w:r>
            <w:r w:rsidRPr="006C40D3">
              <w:t xml:space="preserve"> </w:t>
            </w:r>
            <w:r>
              <w:t xml:space="preserve">3 x 1 Appendix S signaling. Appendix S signaling is used </w:t>
            </w:r>
            <w:r w:rsidRPr="006C40D3">
              <w:t>to start the</w:t>
            </w:r>
            <w:r>
              <w:t xml:space="preserve"> first fleet as in Mode 0. Subsequent starts </w:t>
            </w:r>
            <w:r w:rsidRPr="006C40D3">
              <w:t xml:space="preserve">are signaled using the final </w:t>
            </w:r>
            <w:r>
              <w:t>one minute sequence of Appendix S. This is useful for pursuit races, which is an alternative to handicap races.</w:t>
            </w:r>
          </w:p>
        </w:tc>
        <w:tc>
          <w:tcPr>
            <w:tcW w:w="814" w:type="dxa"/>
          </w:tcPr>
          <w:p w:rsidR="00CA1766" w:rsidRDefault="004734BC" w:rsidP="00CA1766">
            <w:pPr>
              <w:jc w:val="center"/>
            </w:pPr>
            <w:r>
              <w:t>4</w:t>
            </w:r>
          </w:p>
        </w:tc>
        <w:tc>
          <w:tcPr>
            <w:tcW w:w="900" w:type="dxa"/>
          </w:tcPr>
          <w:p w:rsidR="00CA1766" w:rsidRDefault="004734BC" w:rsidP="00CA1766">
            <w:pPr>
              <w:jc w:val="center"/>
            </w:pPr>
            <w:r>
              <w:t>ON</w:t>
            </w:r>
          </w:p>
        </w:tc>
      </w:tr>
    </w:tbl>
    <w:p w:rsidR="00006DCF" w:rsidRDefault="00006DCF" w:rsidP="00006DCF">
      <w:pPr>
        <w:pStyle w:val="Heading1"/>
      </w:pPr>
      <w:r>
        <w:t>Race Start</w:t>
      </w:r>
    </w:p>
    <w:p w:rsidR="000557E4" w:rsidRDefault="006B2565" w:rsidP="000557E4">
      <w:r>
        <w:t>After the S</w:t>
      </w:r>
      <w:r w:rsidR="000557E4">
        <w:t xml:space="preserve">tart </w:t>
      </w:r>
      <w:r>
        <w:t>button</w:t>
      </w:r>
      <w:r w:rsidR="000557E4">
        <w:t xml:space="preserve"> is pressed and for all modes, there are five in</w:t>
      </w:r>
      <w:r w:rsidR="00006DCF">
        <w:t>ternal beeps, five short horn blasts</w:t>
      </w:r>
      <w:r w:rsidR="000557E4">
        <w:t>, followed by five more internal beeps prior to the first s</w:t>
      </w:r>
      <w:r w:rsidR="00006DCF">
        <w:t xml:space="preserve">tart. These occur at one second </w:t>
      </w:r>
      <w:r w:rsidR="000557E4">
        <w:t xml:space="preserve">intervals. </w:t>
      </w:r>
      <w:r w:rsidR="00E83102">
        <w:t>The horn blasts are</w:t>
      </w:r>
      <w:r w:rsidR="000557E4">
        <w:t xml:space="preserve"> an aid to competitors, announcing the start signal will be made.</w:t>
      </w:r>
      <w:r w:rsidR="00E83102">
        <w:t xml:space="preserve"> The </w:t>
      </w:r>
      <w:r w:rsidR="00C27E0E">
        <w:t>red LED is turned off; the yellow LED will remain on during rolling starts.</w:t>
      </w:r>
    </w:p>
    <w:p w:rsidR="000557E4" w:rsidRDefault="000557E4" w:rsidP="000557E4">
      <w:r>
        <w:t>Rolling starts will continue until the device is turned off. After the star</w:t>
      </w:r>
      <w:r w:rsidR="00006DCF">
        <w:t xml:space="preserve">t signal on non-rolling starts, </w:t>
      </w:r>
      <w:r>
        <w:t>the Start</w:t>
      </w:r>
      <w:r w:rsidR="00006DCF">
        <w:t xml:space="preserve"> button can be used to start</w:t>
      </w:r>
      <w:r>
        <w:t xml:space="preserve"> the next sequence of signa</w:t>
      </w:r>
      <w:r w:rsidR="00006DCF">
        <w:t xml:space="preserve">ls. </w:t>
      </w:r>
      <w:r w:rsidR="00E83102">
        <w:t xml:space="preserve">The red LED will flash to indicate the mode. </w:t>
      </w:r>
      <w:r w:rsidR="00006DCF">
        <w:t xml:space="preserve">The mode may not be changed </w:t>
      </w:r>
      <w:r>
        <w:t>until the de</w:t>
      </w:r>
      <w:r w:rsidR="00006DCF">
        <w:t>vice is cycled off and back on.</w:t>
      </w:r>
    </w:p>
    <w:p w:rsidR="000557E4" w:rsidRDefault="000557E4" w:rsidP="000557E4">
      <w:r>
        <w:t xml:space="preserve">During the </w:t>
      </w:r>
      <w:r w:rsidR="00006DCF">
        <w:t>signaling</w:t>
      </w:r>
      <w:r>
        <w:t>, the red LED is illuminated during the final mi</w:t>
      </w:r>
      <w:r w:rsidR="00006DCF">
        <w:t xml:space="preserve">nute of the sequence as an aid </w:t>
      </w:r>
      <w:r>
        <w:t xml:space="preserve">for the race committee. Also, for modes 2, 3, 4, and 5 there are three </w:t>
      </w:r>
      <w:r w:rsidR="00006DCF">
        <w:t xml:space="preserve">internal </w:t>
      </w:r>
      <w:r w:rsidR="008C6882">
        <w:t>beeps fifteen</w:t>
      </w:r>
      <w:r>
        <w:t xml:space="preserve"> seconds prior to each signal event. This is a race committee aid as</w:t>
      </w:r>
      <w:r w:rsidR="00006DCF">
        <w:t xml:space="preserve"> well to alert them when </w:t>
      </w:r>
      <w:r>
        <w:t>flags supplement the audible signals.</w:t>
      </w:r>
    </w:p>
    <w:p w:rsidR="009F6DFB" w:rsidRDefault="009F6DFB" w:rsidP="000557E4">
      <w:r>
        <w:t xml:space="preserve">The Horn button may be used during signaling to sound asynchronous blasts on the horn. It may also be used prior to the start of the race start signals. The purpose is to use the horn to call competitor </w:t>
      </w:r>
      <w:r>
        <w:lastRenderedPageBreak/>
        <w:t>attention to a general recall, a change in the race course, or other race committee action that affects the race.</w:t>
      </w:r>
      <w:r w:rsidR="008C6882">
        <w:t xml:space="preserve"> This is normally done in accordance with the racing instructions and The Racing Rules of Sailing.</w:t>
      </w:r>
    </w:p>
    <w:p w:rsidR="00646269" w:rsidRDefault="00646269" w:rsidP="00646269">
      <w:pPr>
        <w:pStyle w:val="Heading1"/>
      </w:pPr>
      <w:r>
        <w:t>Race Sequence Abandon</w:t>
      </w:r>
    </w:p>
    <w:p w:rsidR="00646269" w:rsidRPr="00646269" w:rsidRDefault="00646269" w:rsidP="00646269">
      <w:r>
        <w:t xml:space="preserve">To abandon a race sequence after a recall or other event that requires the start sequence to be terminated, the </w:t>
      </w:r>
      <w:proofErr w:type="spellStart"/>
      <w:r>
        <w:t>Voojibox</w:t>
      </w:r>
      <w:proofErr w:type="spellEnd"/>
      <w:r>
        <w:t xml:space="preserve"> must b</w:t>
      </w:r>
      <w:r w:rsidR="006B2565">
        <w:t xml:space="preserve">e reset by cycling the power </w:t>
      </w:r>
      <w:proofErr w:type="gramStart"/>
      <w:r w:rsidR="006B2565">
        <w:t>Off</w:t>
      </w:r>
      <w:proofErr w:type="gramEnd"/>
      <w:r w:rsidR="006B2565">
        <w:t xml:space="preserve"> and back On</w:t>
      </w:r>
      <w:r>
        <w:t>.</w:t>
      </w:r>
    </w:p>
    <w:p w:rsidR="00006DCF" w:rsidRDefault="00006DCF" w:rsidP="00006DCF">
      <w:pPr>
        <w:pStyle w:val="Heading1"/>
      </w:pPr>
      <w:r>
        <w:t>Race End</w:t>
      </w:r>
    </w:p>
    <w:p w:rsidR="00006DCF" w:rsidRPr="00006DCF" w:rsidRDefault="00006DCF" w:rsidP="00006DCF">
      <w:r>
        <w:t>After racing is completed, tu</w:t>
      </w:r>
      <w:r w:rsidR="006B2565">
        <w:t xml:space="preserve">rn the </w:t>
      </w:r>
      <w:proofErr w:type="spellStart"/>
      <w:r w:rsidR="006B2565">
        <w:t>Voojibox</w:t>
      </w:r>
      <w:proofErr w:type="spellEnd"/>
      <w:r w:rsidR="006B2565">
        <w:t xml:space="preserve"> power switch to Charge/Off</w:t>
      </w:r>
      <w:r>
        <w:t xml:space="preserve">. Disconnect the horn. Store the </w:t>
      </w:r>
      <w:proofErr w:type="spellStart"/>
      <w:r>
        <w:t>Voojibox</w:t>
      </w:r>
      <w:proofErr w:type="spellEnd"/>
      <w:r>
        <w:t xml:space="preserve"> in a dry place so that it will be ready for the next race series.</w:t>
      </w:r>
    </w:p>
    <w:p w:rsidR="00006DCF" w:rsidRDefault="00006DCF" w:rsidP="00006DCF">
      <w:pPr>
        <w:pStyle w:val="Heading1"/>
      </w:pPr>
      <w:r>
        <w:t>Maintenance</w:t>
      </w:r>
    </w:p>
    <w:p w:rsidR="00006DCF" w:rsidRPr="00006DCF" w:rsidRDefault="00006DCF" w:rsidP="00006DCF">
      <w:r>
        <w:t xml:space="preserve">It is recommended to charge the </w:t>
      </w:r>
      <w:proofErr w:type="spellStart"/>
      <w:r>
        <w:t>Voojibox</w:t>
      </w:r>
      <w:proofErr w:type="spellEnd"/>
      <w:r>
        <w:t xml:space="preserve"> after each race series so that it is ready for next use. </w:t>
      </w:r>
      <w:r w:rsidR="009F6DFB">
        <w:t xml:space="preserve">Remember that the </w:t>
      </w:r>
      <w:proofErr w:type="spellStart"/>
      <w:r w:rsidR="009F6DFB">
        <w:t>Voojibox</w:t>
      </w:r>
      <w:proofErr w:type="spellEnd"/>
      <w:r w:rsidR="009F6DFB">
        <w:t xml:space="preserve"> will only charge when th</w:t>
      </w:r>
      <w:r w:rsidR="006B2565">
        <w:t xml:space="preserve">e power is </w:t>
      </w:r>
      <w:proofErr w:type="gramStart"/>
      <w:r w:rsidR="006B2565">
        <w:t>Off</w:t>
      </w:r>
      <w:proofErr w:type="gramEnd"/>
      <w:r w:rsidR="009F6DFB">
        <w:t xml:space="preserve">. </w:t>
      </w:r>
      <w:r>
        <w:t>Otherwise, no maintenance is required other than keeping the device clean and dry.</w:t>
      </w:r>
    </w:p>
    <w:sectPr w:rsidR="00006DCF" w:rsidRPr="00006DCF" w:rsidSect="003C721F">
      <w:footerReference w:type="default" r:id="rId1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9C3" w:rsidRDefault="00F619C3" w:rsidP="00C63161">
      <w:pPr>
        <w:spacing w:after="0" w:line="240" w:lineRule="auto"/>
      </w:pPr>
      <w:r>
        <w:separator/>
      </w:r>
    </w:p>
  </w:endnote>
  <w:endnote w:type="continuationSeparator" w:id="0">
    <w:p w:rsidR="00F619C3" w:rsidRDefault="00F619C3" w:rsidP="00C63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21F" w:rsidRDefault="003C721F">
    <w:pPr>
      <w:pStyle w:val="Footer"/>
    </w:pPr>
    <w:proofErr w:type="spellStart"/>
    <w:r>
      <w:t>Voojibox</w:t>
    </w:r>
    <w:proofErr w:type="spellEnd"/>
    <w:r>
      <w:t xml:space="preserve"> User Guide</w:t>
    </w:r>
    <w:r>
      <w:ptab w:relativeTo="margin" w:alignment="center" w:leader="none"/>
    </w:r>
    <w:r>
      <w:fldChar w:fldCharType="begin"/>
    </w:r>
    <w:r>
      <w:instrText xml:space="preserve"> PAGE   \* MERGEFORMAT </w:instrText>
    </w:r>
    <w:r>
      <w:fldChar w:fldCharType="separate"/>
    </w:r>
    <w:r w:rsidR="00BC6FE7">
      <w:rPr>
        <w:noProof/>
      </w:rPr>
      <w:t>2</w:t>
    </w:r>
    <w:r>
      <w:rPr>
        <w:noProof/>
      </w:rPr>
      <w:fldChar w:fldCharType="end"/>
    </w:r>
    <w:r>
      <w:ptab w:relativeTo="margin" w:alignment="right" w:leader="none"/>
    </w:r>
    <w:proofErr w:type="gramStart"/>
    <w:r>
      <w:t>Rev  -</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9C3" w:rsidRDefault="00F619C3" w:rsidP="00C63161">
      <w:pPr>
        <w:spacing w:after="0" w:line="240" w:lineRule="auto"/>
      </w:pPr>
      <w:r>
        <w:separator/>
      </w:r>
    </w:p>
  </w:footnote>
  <w:footnote w:type="continuationSeparator" w:id="0">
    <w:p w:rsidR="00F619C3" w:rsidRDefault="00F619C3" w:rsidP="00C631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AB5"/>
    <w:rsid w:val="00006DCF"/>
    <w:rsid w:val="000557E4"/>
    <w:rsid w:val="00124D5D"/>
    <w:rsid w:val="00146693"/>
    <w:rsid w:val="0025062A"/>
    <w:rsid w:val="002B3D70"/>
    <w:rsid w:val="003C721F"/>
    <w:rsid w:val="004734BC"/>
    <w:rsid w:val="005847D6"/>
    <w:rsid w:val="00646269"/>
    <w:rsid w:val="006B2565"/>
    <w:rsid w:val="006C40D3"/>
    <w:rsid w:val="0072071E"/>
    <w:rsid w:val="00762973"/>
    <w:rsid w:val="007E6AB5"/>
    <w:rsid w:val="007F4152"/>
    <w:rsid w:val="008C6882"/>
    <w:rsid w:val="009F6DFB"/>
    <w:rsid w:val="00A22CF4"/>
    <w:rsid w:val="00B00EBF"/>
    <w:rsid w:val="00B7392A"/>
    <w:rsid w:val="00BC6FE7"/>
    <w:rsid w:val="00C27E0E"/>
    <w:rsid w:val="00C63161"/>
    <w:rsid w:val="00C76945"/>
    <w:rsid w:val="00CA1766"/>
    <w:rsid w:val="00D42535"/>
    <w:rsid w:val="00E83102"/>
    <w:rsid w:val="00F6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E4"/>
  </w:style>
  <w:style w:type="paragraph" w:styleId="Heading1">
    <w:name w:val="heading 1"/>
    <w:basedOn w:val="Normal"/>
    <w:next w:val="Normal"/>
    <w:link w:val="Heading1Char"/>
    <w:uiPriority w:val="9"/>
    <w:qFormat/>
    <w:rsid w:val="007E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A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A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6AB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5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71E"/>
    <w:rPr>
      <w:rFonts w:ascii="Tahoma" w:hAnsi="Tahoma" w:cs="Tahoma"/>
      <w:sz w:val="16"/>
      <w:szCs w:val="16"/>
    </w:rPr>
  </w:style>
  <w:style w:type="paragraph" w:styleId="NoSpacing">
    <w:name w:val="No Spacing"/>
    <w:link w:val="NoSpacingChar"/>
    <w:uiPriority w:val="1"/>
    <w:qFormat/>
    <w:rsid w:val="00C6316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3161"/>
    <w:rPr>
      <w:rFonts w:eastAsiaTheme="minorEastAsia"/>
      <w:lang w:eastAsia="ja-JP"/>
    </w:rPr>
  </w:style>
  <w:style w:type="paragraph" w:styleId="Header">
    <w:name w:val="header"/>
    <w:basedOn w:val="Normal"/>
    <w:link w:val="HeaderChar"/>
    <w:uiPriority w:val="99"/>
    <w:unhideWhenUsed/>
    <w:rsid w:val="00C63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61"/>
  </w:style>
  <w:style w:type="paragraph" w:styleId="Footer">
    <w:name w:val="footer"/>
    <w:basedOn w:val="Normal"/>
    <w:link w:val="FooterChar"/>
    <w:uiPriority w:val="99"/>
    <w:unhideWhenUsed/>
    <w:rsid w:val="00C63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61"/>
  </w:style>
  <w:style w:type="character" w:styleId="Hyperlink">
    <w:name w:val="Hyperlink"/>
    <w:basedOn w:val="DefaultParagraphFont"/>
    <w:uiPriority w:val="99"/>
    <w:unhideWhenUsed/>
    <w:rsid w:val="00BC6FE7"/>
    <w:rPr>
      <w:color w:val="0000FF" w:themeColor="hyperlink"/>
      <w:u w:val="single"/>
    </w:rPr>
  </w:style>
  <w:style w:type="character" w:styleId="FollowedHyperlink">
    <w:name w:val="FollowedHyperlink"/>
    <w:basedOn w:val="DefaultParagraphFont"/>
    <w:uiPriority w:val="99"/>
    <w:semiHidden/>
    <w:unhideWhenUsed/>
    <w:rsid w:val="00BC6F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7E4"/>
  </w:style>
  <w:style w:type="paragraph" w:styleId="Heading1">
    <w:name w:val="heading 1"/>
    <w:basedOn w:val="Normal"/>
    <w:next w:val="Normal"/>
    <w:link w:val="Heading1Char"/>
    <w:uiPriority w:val="9"/>
    <w:qFormat/>
    <w:rsid w:val="007E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6A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6A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6AB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57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2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71E"/>
    <w:rPr>
      <w:rFonts w:ascii="Tahoma" w:hAnsi="Tahoma" w:cs="Tahoma"/>
      <w:sz w:val="16"/>
      <w:szCs w:val="16"/>
    </w:rPr>
  </w:style>
  <w:style w:type="paragraph" w:styleId="NoSpacing">
    <w:name w:val="No Spacing"/>
    <w:link w:val="NoSpacingChar"/>
    <w:uiPriority w:val="1"/>
    <w:qFormat/>
    <w:rsid w:val="00C6316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63161"/>
    <w:rPr>
      <w:rFonts w:eastAsiaTheme="minorEastAsia"/>
      <w:lang w:eastAsia="ja-JP"/>
    </w:rPr>
  </w:style>
  <w:style w:type="paragraph" w:styleId="Header">
    <w:name w:val="header"/>
    <w:basedOn w:val="Normal"/>
    <w:link w:val="HeaderChar"/>
    <w:uiPriority w:val="99"/>
    <w:unhideWhenUsed/>
    <w:rsid w:val="00C63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161"/>
  </w:style>
  <w:style w:type="paragraph" w:styleId="Footer">
    <w:name w:val="footer"/>
    <w:basedOn w:val="Normal"/>
    <w:link w:val="FooterChar"/>
    <w:uiPriority w:val="99"/>
    <w:unhideWhenUsed/>
    <w:rsid w:val="00C63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61"/>
  </w:style>
  <w:style w:type="character" w:styleId="Hyperlink">
    <w:name w:val="Hyperlink"/>
    <w:basedOn w:val="DefaultParagraphFont"/>
    <w:uiPriority w:val="99"/>
    <w:unhideWhenUsed/>
    <w:rsid w:val="00BC6FE7"/>
    <w:rPr>
      <w:color w:val="0000FF" w:themeColor="hyperlink"/>
      <w:u w:val="single"/>
    </w:rPr>
  </w:style>
  <w:style w:type="character" w:styleId="FollowedHyperlink">
    <w:name w:val="FollowedHyperlink"/>
    <w:basedOn w:val="DefaultParagraphFont"/>
    <w:uiPriority w:val="99"/>
    <w:semiHidden/>
    <w:unhideWhenUsed/>
    <w:rsid w:val="00BC6F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nc-sa/3.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11</cp:revision>
  <dcterms:created xsi:type="dcterms:W3CDTF">2014-02-10T21:49:00Z</dcterms:created>
  <dcterms:modified xsi:type="dcterms:W3CDTF">2014-03-10T20:09:00Z</dcterms:modified>
</cp:coreProperties>
</file>