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55555"/>
          <w:sz w:val="18"/>
          <w:szCs w:val="18"/>
        </w:rPr>
        <w:t xml:space="preserve">NOTE DE CADRAGE — CONDUITE DU CHANGEMENT</w:t>
      </w:r>
    </w:p>
    <w:p>
      <w:pPr>
        <w:spacing w:after="60"/>
      </w:pPr>
      <w:r>
        <w:rPr>
          <w:b/>
          <w:bCs/>
          <w:color w:val="1B2A4A"/>
          <w:sz w:val="32"/>
          <w:szCs w:val="32"/>
        </w:rPr>
        <w:t xml:space="preserve">Déploiement d'un assistant IA pour le support &amp; le marketing</w:t>
      </w:r>
    </w:p>
    <w:p>
      <w:pPr>
        <w:spacing w:after="300"/>
      </w:pPr>
      <w:r>
        <w:rPr>
          <w:i/>
          <w:iCs/>
          <w:color w:val="555555"/>
          <w:sz w:val="22"/>
          <w:szCs w:val="22"/>
        </w:rPr>
        <w:t xml:space="preserve">Cas d'application inspiré du contexte Lemonway (fintech B2B — solutions de paiement)</w:t>
      </w:r>
    </w:p>
    <w:p>
      <w:pPr>
        <w:pStyle w:val="Heading1"/>
        <w:spacing w:after="150" w:before="300"/>
      </w:pPr>
      <w:r>
        <w:rPr>
          <w:b/>
          <w:bCs/>
          <w:color w:val="1B2A4A"/>
          <w:sz w:val="26"/>
          <w:szCs w:val="26"/>
        </w:rPr>
        <w:t xml:space="preserve">1. Contexte et enjeu</w:t>
      </w:r>
    </w:p>
    <w:p>
      <w:pPr>
        <w:spacing w:after="120"/>
      </w:pPr>
      <w:r>
        <w:rPr>
          <w:sz w:val="21"/>
          <w:szCs w:val="21"/>
        </w:rPr>
        <w:t xml:space="preserve">Une fintech B2B spécialisée dans les solutions de paiement pour marketplaces et plateformes fait face à un volume croissant de sollicitations : questions clients/partenaires côté support, besoin de production de contenus côté marketing (FAQ, argumentaires, veille concurrentielle). La direction souhaite déployer un assistant IA pour absorber une partie de cette charge, sans dégrader la qualité de service ni la conformité — un point sensible dans un secteur régulé comme le paiement.</w:t>
      </w:r>
    </w:p>
    <w:p>
      <w:pPr>
        <w:spacing w:after="120"/>
      </w:pPr>
      <w:r>
        <w:rPr>
          <w:sz w:val="21"/>
          <w:szCs w:val="21"/>
        </w:rPr>
        <w:t xml:space="preserve">Objectif de cette note : structurer l'adoption de l'outil par les équipes concernées, en anticipant les résistances plutôt qu'en les subissant.</w:t>
      </w:r>
    </w:p>
    <w:p>
      <w:pPr>
        <w:pStyle w:val="Heading1"/>
        <w:spacing w:after="150" w:before="300"/>
      </w:pPr>
      <w:r>
        <w:rPr>
          <w:b/>
          <w:bCs/>
          <w:color w:val="1B2A4A"/>
          <w:sz w:val="26"/>
          <w:szCs w:val="26"/>
        </w:rPr>
        <w:t xml:space="preserve">2. Public cible et résistances anticipées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6700"/>
      </w:tblGrid>
      <w:tr>
        <w:tc>
          <w:tcPr>
            <w:tcW w:type="dxa" w:w="3000"/>
            <w:shd w:fill="1B2A4A" w:val="clear"/>
            <w:tcMar>
              <w:top w:type="dxa" w:w="100"/>
              <w:left w:type="dxa" w:w="120"/>
              <w:bottom w:type="dxa" w:w="100"/>
              <w:right w:type="dxa" w:w="120"/>
            </w:tcMar>
          </w:tcPr>
          <w:p>
            <w:r>
              <w:rPr>
                <w:b/>
                <w:bCs/>
                <w:color w:val="FFFFFF"/>
                <w:sz w:val="19"/>
                <w:szCs w:val="19"/>
              </w:rPr>
              <w:t xml:space="preserve">Public</w:t>
            </w:r>
          </w:p>
        </w:tc>
        <w:tc>
          <w:tcPr>
            <w:tcW w:type="dxa" w:w="6700"/>
            <w:shd w:fill="1B2A4A" w:val="clear"/>
            <w:tcMar>
              <w:top w:type="dxa" w:w="100"/>
              <w:left w:type="dxa" w:w="120"/>
              <w:bottom w:type="dxa" w:w="100"/>
              <w:right w:type="dxa" w:w="120"/>
            </w:tcMar>
          </w:tcPr>
          <w:p>
            <w:r>
              <w:rPr>
                <w:b/>
                <w:bCs/>
                <w:color w:val="FFFFFF"/>
                <w:sz w:val="19"/>
                <w:szCs w:val="19"/>
              </w:rPr>
              <w:t xml:space="preserve">Résistance probable</w:t>
            </w:r>
          </w:p>
        </w:tc>
      </w:tr>
      <w:tr>
        <w:tc>
          <w:tcPr>
            <w:tcW w:type="dxa" w:w="3000"/>
            <w:tcMar>
              <w:top w:type="dxa" w:w="100"/>
              <w:left w:type="dxa" w:w="120"/>
              <w:bottom w:type="dxa" w:w="100"/>
              <w:right w:type="dxa" w:w="120"/>
            </w:tcMar>
          </w:tcPr>
          <w:p>
            <w:r>
              <w:rPr>
                <w:b w:val="false"/>
                <w:bCs w:val="false"/>
                <w:color w:val="000000"/>
                <w:sz w:val="19"/>
                <w:szCs w:val="19"/>
              </w:rPr>
              <w:t xml:space="preserve">Équipe support</w:t>
            </w:r>
          </w:p>
        </w:tc>
        <w:tc>
          <w:tcPr>
            <w:tcW w:type="dxa" w:w="6700"/>
            <w:tcMar>
              <w:top w:type="dxa" w:w="100"/>
              <w:left w:type="dxa" w:w="120"/>
              <w:bottom w:type="dxa" w:w="100"/>
              <w:right w:type="dxa" w:w="120"/>
            </w:tcMar>
          </w:tcPr>
          <w:p>
            <w:r>
              <w:rPr>
                <w:b w:val="false"/>
                <w:bCs w:val="false"/>
                <w:color w:val="000000"/>
                <w:sz w:val="19"/>
                <w:szCs w:val="19"/>
              </w:rPr>
              <w:t xml:space="preserve">Crainte d'être remplacée, méfiance sur la fiabilité des réponses IA pour des sujets réglementés (paiement, KYC)</w:t>
            </w:r>
          </w:p>
        </w:tc>
      </w:tr>
      <w:tr>
        <w:tc>
          <w:tcPr>
            <w:tcW w:type="dxa" w:w="3000"/>
            <w:tcMar>
              <w:top w:type="dxa" w:w="100"/>
              <w:left w:type="dxa" w:w="120"/>
              <w:bottom w:type="dxa" w:w="100"/>
              <w:right w:type="dxa" w:w="120"/>
            </w:tcMar>
          </w:tcPr>
          <w:p>
            <w:r>
              <w:rPr>
                <w:b w:val="false"/>
                <w:bCs w:val="false"/>
                <w:color w:val="000000"/>
                <w:sz w:val="19"/>
                <w:szCs w:val="19"/>
              </w:rPr>
              <w:t xml:space="preserve">Équipe marketing</w:t>
            </w:r>
          </w:p>
        </w:tc>
        <w:tc>
          <w:tcPr>
            <w:tcW w:type="dxa" w:w="6700"/>
            <w:tcMar>
              <w:top w:type="dxa" w:w="100"/>
              <w:left w:type="dxa" w:w="120"/>
              <w:bottom w:type="dxa" w:w="100"/>
              <w:right w:type="dxa" w:w="120"/>
            </w:tcMar>
          </w:tcPr>
          <w:p>
            <w:r>
              <w:rPr>
                <w:b w:val="false"/>
                <w:bCs w:val="false"/>
                <w:color w:val="000000"/>
                <w:sz w:val="19"/>
                <w:szCs w:val="19"/>
              </w:rPr>
              <w:t xml:space="preserve">Scepticisme sur la pertinence du contenu généré, crainte de dilution de la voix de marque, surcharge liée à la vérification systématique</w:t>
            </w:r>
          </w:p>
        </w:tc>
      </w:tr>
      <w:tr>
        <w:tc>
          <w:tcPr>
            <w:tcW w:type="dxa" w:w="3000"/>
            <w:tcMar>
              <w:top w:type="dxa" w:w="100"/>
              <w:left w:type="dxa" w:w="120"/>
              <w:bottom w:type="dxa" w:w="100"/>
              <w:right w:type="dxa" w:w="120"/>
            </w:tcMar>
          </w:tcPr>
          <w:p>
            <w:r>
              <w:rPr>
                <w:b w:val="false"/>
                <w:bCs w:val="false"/>
                <w:color w:val="000000"/>
                <w:sz w:val="19"/>
                <w:szCs w:val="19"/>
              </w:rPr>
              <w:t xml:space="preserve">Management</w:t>
            </w:r>
          </w:p>
        </w:tc>
        <w:tc>
          <w:tcPr>
            <w:tcW w:type="dxa" w:w="6700"/>
            <w:tcMar>
              <w:top w:type="dxa" w:w="100"/>
              <w:left w:type="dxa" w:w="120"/>
              <w:bottom w:type="dxa" w:w="100"/>
              <w:right w:type="dxa" w:w="120"/>
            </w:tcMar>
          </w:tcPr>
          <w:p>
            <w:r>
              <w:rPr>
                <w:b w:val="false"/>
                <w:bCs w:val="false"/>
                <w:color w:val="000000"/>
                <w:sz w:val="19"/>
                <w:szCs w:val="19"/>
              </w:rPr>
              <w:t xml:space="preserve">Attente d'un retour sur investissement rapide, risque de sur-promesse si le déploiement est mal cadré</w:t>
            </w:r>
          </w:p>
        </w:tc>
      </w:tr>
    </w:tbl>
    <w:p>
      <w:pPr>
        <w:spacing w:after="200"/>
      </w:pPr>
    </w:p>
    <w:p>
      <w:pPr>
        <w:pStyle w:val="Heading1"/>
        <w:spacing w:after="150" w:before="300"/>
      </w:pPr>
      <w:r>
        <w:rPr>
          <w:b/>
          <w:bCs/>
          <w:color w:val="1B2A4A"/>
          <w:sz w:val="26"/>
          <w:szCs w:val="26"/>
        </w:rPr>
        <w:t xml:space="preserve">3. Plan de communication</w:t>
      </w:r>
    </w:p>
    <w:p>
      <w:pPr>
        <w:pStyle w:val="ListParagraph"/>
        <w:numPr>
          <w:ilvl w:val="0"/>
          <w:numId w:val="2"/>
        </w:numPr>
        <w:spacing w:after="60"/>
      </w:pPr>
      <w:r>
        <w:rPr>
          <w:sz w:val="21"/>
          <w:szCs w:val="21"/>
        </w:rPr>
        <w:t xml:space="preserve">Positionner clairement l'outil comme un assistant, pas un remplaçant, dès l'annonce initiale</w:t>
      </w:r>
    </w:p>
    <w:p>
      <w:pPr>
        <w:pStyle w:val="ListParagraph"/>
        <w:numPr>
          <w:ilvl w:val="0"/>
          <w:numId w:val="2"/>
        </w:numPr>
        <w:spacing w:after="60"/>
      </w:pPr>
      <w:r>
        <w:rPr>
          <w:sz w:val="21"/>
          <w:szCs w:val="21"/>
        </w:rPr>
        <w:t xml:space="preserve">Communiquer en plusieurs vagues : annonce générale en réunion d'équipe, démonstration sur un cas d'usage réel et concret, puis période de test avec un groupe pilote volontaire</w:t>
      </w:r>
    </w:p>
    <w:p>
      <w:pPr>
        <w:pStyle w:val="ListParagraph"/>
        <w:numPr>
          <w:ilvl w:val="0"/>
          <w:numId w:val="2"/>
        </w:numPr>
        <w:spacing w:after="60"/>
      </w:pPr>
      <w:r>
        <w:rPr>
          <w:sz w:val="21"/>
          <w:szCs w:val="21"/>
        </w:rPr>
        <w:t xml:space="preserve">Ouvrir des créneaux de questions-réponses dédiés et une FAQ interne pour désamorcer les inquiétudes au fil de l'eau</w:t>
      </w:r>
    </w:p>
    <w:p>
      <w:pPr>
        <w:pStyle w:val="Heading1"/>
        <w:spacing w:after="150" w:before="300"/>
      </w:pPr>
      <w:r>
        <w:rPr>
          <w:b/>
          <w:bCs/>
          <w:color w:val="1B2A4A"/>
          <w:sz w:val="26"/>
          <w:szCs w:val="26"/>
        </w:rPr>
        <w:t xml:space="preserve">4. Formation et accompagnement</w:t>
      </w:r>
    </w:p>
    <w:p>
      <w:pPr>
        <w:pStyle w:val="ListParagraph"/>
        <w:numPr>
          <w:ilvl w:val="0"/>
          <w:numId w:val="2"/>
        </w:numPr>
        <w:spacing w:after="60"/>
      </w:pPr>
      <w:r>
        <w:rPr>
          <w:sz w:val="21"/>
          <w:szCs w:val="21"/>
        </w:rPr>
        <w:t xml:space="preserve">Ateliers pratiques différenciés par métier (support / marketing) plutôt qu'une formation générique unique</w:t>
      </w:r>
    </w:p>
    <w:p>
      <w:pPr>
        <w:pStyle w:val="ListParagraph"/>
        <w:numPr>
          <w:ilvl w:val="0"/>
          <w:numId w:val="2"/>
        </w:numPr>
        <w:spacing w:after="60"/>
      </w:pPr>
      <w:r>
        <w:rPr>
          <w:sz w:val="21"/>
          <w:szCs w:val="21"/>
        </w:rPr>
        <w:t xml:space="preserve">Construction des garde-fous et des prompts avec la conformité impliquée dès le départ, vu la sensibilité réglementaire du secteur paiement</w:t>
      </w:r>
    </w:p>
    <w:p>
      <w:pPr>
        <w:pStyle w:val="ListParagraph"/>
        <w:numPr>
          <w:ilvl w:val="0"/>
          <w:numId w:val="2"/>
        </w:numPr>
        <w:spacing w:after="60"/>
      </w:pPr>
      <w:r>
        <w:rPr>
          <w:sz w:val="21"/>
          <w:szCs w:val="21"/>
        </w:rPr>
        <w:t xml:space="preserve">Identification de « référents » par équipe, chargés de remonter les frictions terrain et d'accompagner leurs pairs au quotidien</w:t>
      </w:r>
    </w:p>
    <w:p>
      <w:pPr>
        <w:pStyle w:val="Heading1"/>
        <w:spacing w:after="150" w:before="300"/>
      </w:pPr>
      <w:r>
        <w:rPr>
          <w:b/>
          <w:bCs/>
          <w:color w:val="1B2A4A"/>
          <w:sz w:val="26"/>
          <w:szCs w:val="26"/>
        </w:rPr>
        <w:t xml:space="preserve">5. Indicateurs de succès</w:t>
      </w:r>
    </w:p>
    <w:p>
      <w:pPr>
        <w:pStyle w:val="ListParagraph"/>
        <w:numPr>
          <w:ilvl w:val="0"/>
          <w:numId w:val="2"/>
        </w:numPr>
        <w:spacing w:after="60"/>
      </w:pPr>
      <w:r>
        <w:rPr>
          <w:sz w:val="21"/>
          <w:szCs w:val="21"/>
        </w:rPr>
        <w:t xml:space="preserve">Taux d'adoption volontaire de l'outil après un mois d'usage</w:t>
      </w:r>
    </w:p>
    <w:p>
      <w:pPr>
        <w:pStyle w:val="ListParagraph"/>
        <w:numPr>
          <w:ilvl w:val="0"/>
          <w:numId w:val="2"/>
        </w:numPr>
        <w:spacing w:after="60"/>
      </w:pPr>
      <w:r>
        <w:rPr>
          <w:sz w:val="21"/>
          <w:szCs w:val="21"/>
        </w:rPr>
        <w:t xml:space="preserve">Évolution du temps de traitement moyen des tickets support avant/après déploiement</w:t>
      </w:r>
    </w:p>
    <w:p>
      <w:pPr>
        <w:pStyle w:val="ListParagraph"/>
        <w:numPr>
          <w:ilvl w:val="0"/>
          <w:numId w:val="2"/>
        </w:numPr>
        <w:spacing w:after="60"/>
      </w:pPr>
      <w:r>
        <w:rPr>
          <w:sz w:val="21"/>
          <w:szCs w:val="21"/>
        </w:rPr>
        <w:t xml:space="preserve">Taux de correction humaine nécessaire sur les réponses ou contenus générés, comme indicateur de qualité</w:t>
      </w:r>
    </w:p>
    <w:p>
      <w:pPr>
        <w:pStyle w:val="ListParagraph"/>
        <w:numPr>
          <w:ilvl w:val="0"/>
          <w:numId w:val="2"/>
        </w:numPr>
        <w:spacing w:after="60"/>
      </w:pPr>
      <w:r>
        <w:rPr>
          <w:sz w:val="21"/>
          <w:szCs w:val="21"/>
        </w:rPr>
        <w:t xml:space="preserve">Niveau de confiance et de satisfaction interne, mesuré via un pulse survey court</w:t>
      </w:r>
    </w:p>
    <w:p>
      <w:pPr>
        <w:pStyle w:val="Heading1"/>
        <w:spacing w:after="150" w:before="300"/>
      </w:pPr>
      <w:r>
        <w:rPr>
          <w:b/>
          <w:bCs/>
          <w:color w:val="1B2A4A"/>
          <w:sz w:val="26"/>
          <w:szCs w:val="26"/>
        </w:rPr>
        <w:t xml:space="preserve">6. Risques et mitigation</w:t>
      </w:r>
    </w:p>
    <w:p>
      <w:pPr>
        <w:pStyle w:val="ListParagraph"/>
        <w:numPr>
          <w:ilvl w:val="0"/>
          <w:numId w:val="2"/>
        </w:numPr>
        <w:spacing w:after="60"/>
      </w:pPr>
      <w:r>
        <w:rPr>
          <w:sz w:val="21"/>
          <w:szCs w:val="21"/>
        </w:rPr>
        <w:t xml:space="preserve">Risque réglementaire : une réponse erronée sur un sujet paiement/KYC peut avoir des conséquences sérieuses → validation humaine obligatoire sur les sujets sensibles, IA cantonnée aux FAQ non réglementées dans un premier temps</w:t>
      </w:r>
    </w:p>
    <w:p>
      <w:pPr>
        <w:pStyle w:val="ListParagraph"/>
        <w:numPr>
          <w:ilvl w:val="0"/>
          <w:numId w:val="2"/>
        </w:numPr>
        <w:spacing w:after="60"/>
      </w:pPr>
      <w:r>
        <w:rPr>
          <w:sz w:val="21"/>
          <w:szCs w:val="21"/>
        </w:rPr>
        <w:t xml:space="preserve">Risque d'adoption superficielle : l'outil est utilisé sans être réellement fait confiance → mesurer l'usage réel plutôt que le seul usage déclaratif</w:t>
      </w:r>
    </w:p>
    <w:p>
      <w:pPr>
        <w:pStyle w:val="Heading1"/>
        <w:spacing w:after="150" w:before="300"/>
      </w:pPr>
      <w:r>
        <w:rPr>
          <w:b/>
          <w:bCs/>
          <w:color w:val="1B2A4A"/>
          <w:sz w:val="26"/>
          <w:szCs w:val="26"/>
        </w:rPr>
        <w:t xml:space="preserve">7. Ce que ce cas démontre</w:t>
      </w:r>
    </w:p>
    <w:p>
      <w:pPr>
        <w:pStyle w:val="ListParagraph"/>
        <w:numPr>
          <w:ilvl w:val="0"/>
          <w:numId w:val="2"/>
        </w:numPr>
        <w:spacing w:after="60"/>
      </w:pPr>
      <w:r>
        <w:rPr>
          <w:sz w:val="21"/>
          <w:szCs w:val="21"/>
        </w:rPr>
        <w:t xml:space="preserve">Une capacité à anticiper les résistances humaines face à une transformation technologique, au-delà du seul aspect outil</w:t>
      </w:r>
    </w:p>
    <w:p>
      <w:pPr>
        <w:pStyle w:val="ListParagraph"/>
        <w:numPr>
          <w:ilvl w:val="0"/>
          <w:numId w:val="2"/>
        </w:numPr>
        <w:spacing w:after="60"/>
      </w:pPr>
      <w:r>
        <w:rPr>
          <w:sz w:val="21"/>
          <w:szCs w:val="21"/>
        </w:rPr>
        <w:t xml:space="preserve">Une sensibilité aux enjeux réglementaires propres à un secteur fintech</w:t>
      </w:r>
    </w:p>
    <w:p>
      <w:pPr>
        <w:pStyle w:val="ListParagraph"/>
        <w:numPr>
          <w:ilvl w:val="0"/>
          <w:numId w:val="2"/>
        </w:numPr>
        <w:spacing w:after="60"/>
      </w:pPr>
      <w:r>
        <w:rPr>
          <w:sz w:val="21"/>
          <w:szCs w:val="21"/>
        </w:rPr>
        <w:t xml:space="preserve">Une approche pragmatique de l'adoption : progressive, mesurable, avec des garde-fous clairs plutôt qu'un déploiement « big bang »</w:t>
      </w:r>
    </w:p>
    <w:p>
      <w:pPr>
        <w:pBdr>
          <w:top w:val="single" w:color="CCCCCC" w:sz="6"/>
        </w:pBdr>
        <w:spacing w:before="300"/>
      </w:pPr>
    </w:p>
    <w:p>
      <w:pPr>
        <w:spacing w:before="150"/>
      </w:pPr>
      <w:r>
        <w:rPr>
          <w:i/>
          <w:iCs/>
          <w:color w:val="555555"/>
          <w:sz w:val="18"/>
          <w:szCs w:val="18"/>
        </w:rPr>
        <w:t xml:space="preserve">Daryne Voufo — Digital Marketing &amp; Transformation des Parcours Clients</w:t>
      </w:r>
    </w:p>
    <w:sectPr>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2026-07-28T12:57:15.815Z</dcterms:created>
  <dcterms:modified xsi:type="dcterms:W3CDTF">2026-07-28T12:57:15.815Z</dcterms:modified>
</cp:coreProperties>
</file>

<file path=docProps/custom.xml><?xml version="1.0" encoding="utf-8"?>
<Properties xmlns="http://schemas.openxmlformats.org/officeDocument/2006/custom-properties" xmlns:vt="http://schemas.openxmlformats.org/officeDocument/2006/docPropsVTypes"/>
</file>