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Calibri" w:hAnsi="Calibri"/>
          <w:b/>
          <w:i w:val="0"/>
          <w:color w:val="12283F"/>
          <w:sz w:val="38"/>
        </w:rPr>
        <w:t>DARYNE VOUFO</w:t>
      </w:r>
    </w:p>
    <w:p>
      <w:pPr>
        <w:spacing w:after="60" w:before="0"/>
        <w:jc w:val="center"/>
      </w:pPr>
      <w:r>
        <w:rPr>
          <w:rFonts w:ascii="Calibri" w:hAnsi="Calibri"/>
          <w:b w:val="0"/>
          <w:i w:val="0"/>
          <w:color w:val="A9793F"/>
          <w:sz w:val="21"/>
        </w:rPr>
        <w:t>Web Marketing Officer — Digital Marketing × Customer Journey × IT</w:t>
      </w:r>
    </w:p>
    <w:p>
      <w:pPr>
        <w:spacing w:after="160" w:before="0"/>
        <w:jc w:val="center"/>
      </w:pPr>
      <w:r>
        <w:rPr>
          <w:rFonts w:ascii="Calibri" w:hAnsi="Calibri"/>
          <w:b w:val="0"/>
          <w:i w:val="0"/>
          <w:color w:val="5B6472"/>
          <w:sz w:val="17"/>
        </w:rPr>
        <w:t>voufodaryne072@gmail.com · +33 (0)7 53 15 76 27 · linkedin.com/in/daryne-voufo-133938203 · Portfolio: [link to add]</w:t>
      </w:r>
    </w:p>
    <w:p>
      <w:pPr>
        <w:spacing w:after="120" w:before="0"/>
        <w:jc w:val="left"/>
      </w:pPr>
      <w:r>
        <w:rPr>
          <w:rFonts w:ascii="Calibri" w:hAnsi="Calibri"/>
          <w:b w:val="0"/>
          <w:i/>
          <w:color w:val="1D2530"/>
          <w:sz w:val="19"/>
        </w:rPr>
        <w:t>A graduate of the Customer Journey Digitalisation Master's (EM Strasbourg), I connect acquisition, data and change management. A work-study placement at Lemonway gave me end-to-end ownership of a B2B funnel. I'm now looking for a first role bridging marketing and IT, and actively exploring generative AI and agents to sharpen my impact.</w:t>
      </w:r>
    </w:p>
    <w:p>
      <w:pPr>
        <w:spacing w:before="160" w:after="60"/>
        <w:pBdr>
          <w:bottom w:val="single" w:sz="5" w:space="2" w:color="12283F"/>
        </w:pBdr>
      </w:pPr>
      <w:r>
        <w:rPr>
          <w:rFonts w:ascii="Calibri" w:hAnsi="Calibri"/>
          <w:b/>
          <w:color w:val="A9793F"/>
          <w:sz w:val="21"/>
        </w:rPr>
        <w:t>EXPERIENCE</w:t>
      </w:r>
    </w:p>
    <w:p>
      <w:pPr>
        <w:spacing w:after="20" w:before="0"/>
        <w:jc w:val="left"/>
      </w:pPr>
      <w:r>
        <w:rPr>
          <w:rFonts w:ascii="Calibri" w:hAnsi="Calibri"/>
          <w:b/>
          <w:i w:val="0"/>
          <w:color w:val="1D2530"/>
          <w:sz w:val="19"/>
        </w:rPr>
        <w:t>Digital Marketing Officer — Lemonway (09/2024–09/2025)</w:t>
      </w:r>
    </w:p>
    <w:p>
      <w:pPr>
        <w:pStyle w:val="ListBullet"/>
        <w:spacing w:after="30"/>
      </w:pPr>
      <w:r>
        <w:rPr>
          <w:rFonts w:ascii="Calibri" w:hAnsi="Calibri"/>
          <w:color w:val="1D2530"/>
          <w:sz w:val="18"/>
        </w:rPr>
        <w:t>Ran 6 B2B campaigns — 90 qualified leads/month on average · 8,000 qualified Salesforce contacts · 40% efficiency gain via Pardot automation</w:t>
      </w:r>
    </w:p>
    <w:p>
      <w:pPr>
        <w:spacing w:after="20" w:before="80"/>
        <w:jc w:val="left"/>
      </w:pPr>
      <w:r>
        <w:rPr>
          <w:rFonts w:ascii="Calibri" w:hAnsi="Calibri"/>
          <w:b/>
          <w:i w:val="0"/>
          <w:color w:val="1D2530"/>
          <w:sz w:val="19"/>
        </w:rPr>
        <w:t>Digital Marketing Specialist — CFPE France Parrainages (08/2023–01/2024)</w:t>
      </w:r>
    </w:p>
    <w:p>
      <w:pPr>
        <w:pStyle w:val="ListBullet"/>
        <w:spacing w:after="30"/>
      </w:pPr>
      <w:r>
        <w:rPr>
          <w:rFonts w:ascii="Calibri" w:hAnsi="Calibri"/>
          <w:color w:val="1D2530"/>
          <w:sz w:val="18"/>
        </w:rPr>
        <w:t>8 email campaigns (97% delivery rate) · bounce rate cut by 18% · competitive analysis adopted into the marketing plan</w:t>
      </w:r>
    </w:p>
    <w:p>
      <w:pPr>
        <w:spacing w:after="20" w:before="80"/>
        <w:jc w:val="left"/>
      </w:pPr>
      <w:r>
        <w:rPr>
          <w:rFonts w:ascii="Calibri" w:hAnsi="Calibri"/>
          <w:b/>
          <w:i w:val="0"/>
          <w:color w:val="1D2530"/>
          <w:sz w:val="19"/>
        </w:rPr>
        <w:t>Product Manager Assistant — American Cola / Source du Pays, Douala (03/2022–08/2022)</w:t>
      </w:r>
    </w:p>
    <w:p>
      <w:pPr>
        <w:pStyle w:val="ListBullet"/>
        <w:spacing w:after="30"/>
      </w:pPr>
      <w:r>
        <w:rPr>
          <w:rFonts w:ascii="Calibri" w:hAnsi="Calibri"/>
          <w:color w:val="1D2530"/>
          <w:sz w:val="18"/>
        </w:rPr>
        <w:t>Market study of 120 consumers and monitoring of 6 competitors for a product launch</w:t>
      </w:r>
    </w:p>
    <w:p>
      <w:pPr>
        <w:spacing w:before="160" w:after="60"/>
        <w:pBdr>
          <w:bottom w:val="single" w:sz="5" w:space="2" w:color="12283F"/>
        </w:pBdr>
      </w:pPr>
      <w:r>
        <w:rPr>
          <w:rFonts w:ascii="Calibri" w:hAnsi="Calibri"/>
          <w:b/>
          <w:color w:val="A9793F"/>
          <w:sz w:val="21"/>
        </w:rPr>
        <w:t>FEATURED PROJECTS</w:t>
      </w:r>
    </w:p>
    <w:p>
      <w:pPr>
        <w:pStyle w:val="ListBullet"/>
        <w:spacing w:after="30"/>
      </w:pPr>
      <w:r>
        <w:rPr>
          <w:rFonts w:ascii="Calibri" w:hAnsi="Calibri"/>
          <w:color w:val="1D2530"/>
          <w:sz w:val="18"/>
        </w:rPr>
        <w:t>UX audit of the subscription journey — BNP Paribas: friction points identified, change-management plan</w:t>
      </w:r>
    </w:p>
    <w:p>
      <w:pPr>
        <w:pStyle w:val="ListBullet"/>
        <w:spacing w:after="30"/>
      </w:pPr>
      <w:r>
        <w:rPr>
          <w:rFonts w:ascii="Calibri" w:hAnsi="Calibri"/>
          <w:color w:val="1D2530"/>
          <w:sz w:val="18"/>
        </w:rPr>
        <w:t>Full SEO audit (56 pp.) — Mustela &amp; Club Med: technical, semantic, netlinking, EEAT</w:t>
      </w:r>
    </w:p>
    <w:p>
      <w:pPr>
        <w:pStyle w:val="ListBullet"/>
        <w:spacing w:after="30"/>
      </w:pPr>
      <w:r>
        <w:rPr>
          <w:rFonts w:ascii="Calibri" w:hAnsi="Calibri"/>
          <w:color w:val="1D2530"/>
          <w:sz w:val="18"/>
        </w:rPr>
        <w:t>AI assistant adoption plan — Lemonway: anticipated resistance, training, regulatory guardrails</w:t>
      </w:r>
    </w:p>
    <w:p>
      <w:pPr>
        <w:spacing w:before="160" w:after="60"/>
        <w:pBdr>
          <w:bottom w:val="single" w:sz="5" w:space="2" w:color="12283F"/>
        </w:pBdr>
      </w:pPr>
      <w:r>
        <w:rPr>
          <w:rFonts w:ascii="Calibri" w:hAnsi="Calibri"/>
          <w:b/>
          <w:color w:val="A9793F"/>
          <w:sz w:val="21"/>
        </w:rPr>
        <w:t>SKILLS</w:t>
      </w:r>
    </w:p>
    <w:p>
      <w:pPr>
        <w:spacing w:after="120"/>
      </w:pPr>
      <w:r>
        <w:rPr>
          <w:rFonts w:ascii="Calibri" w:hAnsi="Calibri"/>
          <w:color w:val="12283F"/>
          <w:sz w:val="18"/>
        </w:rPr>
        <w:t>Google Ads · LinkedIn Ads · SEO/SEA · Salesforce · Pardot · HubSpot · GA4 · Power BI · Python/SQL · WordPress · Generative AI &amp; Agents</w:t>
      </w:r>
    </w:p>
    <w:p>
      <w:pPr>
        <w:spacing w:before="160" w:after="60"/>
        <w:pBdr>
          <w:bottom w:val="single" w:sz="5" w:space="2" w:color="12283F"/>
        </w:pBdr>
      </w:pPr>
      <w:r>
        <w:rPr>
          <w:rFonts w:ascii="Calibri" w:hAnsi="Calibri"/>
          <w:b/>
          <w:color w:val="A9793F"/>
          <w:sz w:val="21"/>
        </w:rPr>
        <w:t>LANGUAGES</w:t>
      </w:r>
    </w:p>
    <w:p>
      <w:pPr>
        <w:spacing w:after="120"/>
      </w:pPr>
      <w:r>
        <w:rPr>
          <w:rFonts w:ascii="Calibri" w:hAnsi="Calibri"/>
          <w:color w:val="12283F"/>
          <w:sz w:val="18"/>
        </w:rPr>
        <w:t>French C2 · English C2 · Spanish A2</w:t>
      </w:r>
    </w:p>
    <w:p/>
    <w:p>
      <w:pPr>
        <w:spacing w:after="0" w:before="0"/>
        <w:jc w:val="center"/>
      </w:pPr>
      <w:r>
        <w:rPr>
          <w:rFonts w:ascii="Calibri" w:hAnsi="Calibri"/>
          <w:b w:val="0"/>
          <w:i/>
          <w:color w:val="5B6472"/>
          <w:sz w:val="17"/>
        </w:rPr>
        <w:t>Full detail — case studies, dashboards, code — is available on my online portfolio.</w:t>
      </w:r>
    </w:p>
    <w:sectPr w:rsidR="00FC693F" w:rsidRPr="0006063C" w:rsidSect="00034616">
      <w:pgSz w:w="12240" w:h="15840"/>
      <w:pgMar w:top="737" w:right="964" w:bottom="62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