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Calibri" w:hAnsi="Calibri"/>
          <w:b/>
          <w:i w:val="0"/>
          <w:color w:val="12283F"/>
          <w:sz w:val="38"/>
        </w:rPr>
        <w:t>DARYNE VOUFO</w:t>
      </w:r>
    </w:p>
    <w:p>
      <w:pPr>
        <w:spacing w:after="60" w:before="0"/>
        <w:jc w:val="center"/>
      </w:pPr>
      <w:r>
        <w:rPr>
          <w:rFonts w:ascii="Calibri" w:hAnsi="Calibri"/>
          <w:b w:val="0"/>
          <w:i w:val="0"/>
          <w:color w:val="A9793F"/>
          <w:sz w:val="21"/>
        </w:rPr>
        <w:t>Chargée de Web Marketing — Marketing digital × Parcours client × IT</w:t>
      </w:r>
    </w:p>
    <w:p>
      <w:pPr>
        <w:spacing w:after="160" w:before="0"/>
        <w:jc w:val="center"/>
      </w:pPr>
      <w:r>
        <w:rPr>
          <w:rFonts w:ascii="Calibri" w:hAnsi="Calibri"/>
          <w:b w:val="0"/>
          <w:i w:val="0"/>
          <w:color w:val="5B6472"/>
          <w:sz w:val="17"/>
        </w:rPr>
        <w:t>voufodaryne072@gmail.com · +33 (0)7 53 15 76 27 · linkedin.com/in/daryne-voufo-133938203 · Portfolio : [lien à ajouter]</w:t>
      </w:r>
    </w:p>
    <w:p>
      <w:pPr>
        <w:spacing w:after="120" w:before="0"/>
        <w:jc w:val="left"/>
      </w:pPr>
      <w:r>
        <w:rPr>
          <w:rFonts w:ascii="Calibri" w:hAnsi="Calibri"/>
          <w:b w:val="0"/>
          <w:i/>
          <w:color w:val="1D2530"/>
          <w:sz w:val="19"/>
        </w:rPr>
        <w:t>Diplômée du Master 2 Digitalisation des Parcours Clients (EM Strasbourg), je relie l'acquisition, la donnée et la conduite du changement. Une alternance chez Lemonway m'a permis de maîtriser un funnel B2B de bout en bout. Aujourd'hui, je recherche un premier poste à la croisée du marketing et de l'IT, et j'explore activement l'IA générative et les agents pour renforcer mon impact.</w:t>
      </w:r>
    </w:p>
    <w:p>
      <w:pPr>
        <w:spacing w:before="160" w:after="60"/>
        <w:pBdr>
          <w:bottom w:val="single" w:sz="5" w:space="2" w:color="12283F"/>
        </w:pBdr>
      </w:pPr>
      <w:r>
        <w:rPr>
          <w:rFonts w:ascii="Calibri" w:hAnsi="Calibri"/>
          <w:b/>
          <w:color w:val="A9793F"/>
          <w:sz w:val="21"/>
        </w:rPr>
        <w:t>EXPÉRIENCE</w:t>
      </w:r>
    </w:p>
    <w:p>
      <w:pPr>
        <w:spacing w:after="20" w:before="0"/>
        <w:jc w:val="left"/>
      </w:pPr>
      <w:r>
        <w:rPr>
          <w:rFonts w:ascii="Calibri" w:hAnsi="Calibri"/>
          <w:b/>
          <w:i w:val="0"/>
          <w:color w:val="1D2530"/>
          <w:sz w:val="19"/>
        </w:rPr>
        <w:t>Digital Marketing Officer — Lemonway (09/2024–09/2025)</w:t>
      </w:r>
    </w:p>
    <w:p>
      <w:pPr>
        <w:pStyle w:val="ListBullet"/>
        <w:spacing w:after="30"/>
      </w:pPr>
      <w:r>
        <w:rPr>
          <w:rFonts w:ascii="Calibri" w:hAnsi="Calibri"/>
          <w:color w:val="1D2530"/>
          <w:sz w:val="18"/>
        </w:rPr>
        <w:t>6 campagnes B2B pilotées — 90 leads qualifiés/mois en moyenne · 8 000 contacts qualifiés Salesforce · 40% de gain via l'automatisation Pardot</w:t>
      </w:r>
    </w:p>
    <w:p>
      <w:pPr>
        <w:spacing w:after="20" w:before="80"/>
        <w:jc w:val="left"/>
      </w:pPr>
      <w:r>
        <w:rPr>
          <w:rFonts w:ascii="Calibri" w:hAnsi="Calibri"/>
          <w:b/>
          <w:i w:val="0"/>
          <w:color w:val="1D2530"/>
          <w:sz w:val="19"/>
        </w:rPr>
        <w:t>Chargée de Marketing Digital — CFPE France Parrainages (08/2023–01/2024)</w:t>
      </w:r>
    </w:p>
    <w:p>
      <w:pPr>
        <w:pStyle w:val="ListBullet"/>
        <w:spacing w:after="30"/>
      </w:pPr>
      <w:r>
        <w:rPr>
          <w:rFonts w:ascii="Calibri" w:hAnsi="Calibri"/>
          <w:color w:val="1D2530"/>
          <w:sz w:val="18"/>
        </w:rPr>
        <w:t>8 campagnes emailing (délivrabilité 97%) · taux de rebond réduit de 18% · analyse concurrentielle intégrée au plan marketing</w:t>
      </w:r>
    </w:p>
    <w:p>
      <w:pPr>
        <w:spacing w:after="20" w:before="80"/>
        <w:jc w:val="left"/>
      </w:pPr>
      <w:r>
        <w:rPr>
          <w:rFonts w:ascii="Calibri" w:hAnsi="Calibri"/>
          <w:b/>
          <w:i w:val="0"/>
          <w:color w:val="1D2530"/>
          <w:sz w:val="19"/>
        </w:rPr>
        <w:t>Assistante Chef de Produit — American Cola / Source du Pays, Douala (03/2022–08/2022)</w:t>
      </w:r>
    </w:p>
    <w:p>
      <w:pPr>
        <w:pStyle w:val="ListBullet"/>
        <w:spacing w:after="30"/>
      </w:pPr>
      <w:r>
        <w:rPr>
          <w:rFonts w:ascii="Calibri" w:hAnsi="Calibri"/>
          <w:color w:val="1D2530"/>
          <w:sz w:val="18"/>
        </w:rPr>
        <w:t>Étude de marché sur 120 consommateurs et veille de 6 concurrents pour un lancement produit</w:t>
      </w:r>
    </w:p>
    <w:p>
      <w:pPr>
        <w:spacing w:before="160" w:after="60"/>
        <w:pBdr>
          <w:bottom w:val="single" w:sz="5" w:space="2" w:color="12283F"/>
        </w:pBdr>
      </w:pPr>
      <w:r>
        <w:rPr>
          <w:rFonts w:ascii="Calibri" w:hAnsi="Calibri"/>
          <w:b/>
          <w:color w:val="A9793F"/>
          <w:sz w:val="21"/>
        </w:rPr>
        <w:t>PROJETS PHARES</w:t>
      </w:r>
    </w:p>
    <w:p>
      <w:pPr>
        <w:pStyle w:val="ListBullet"/>
        <w:spacing w:after="30"/>
      </w:pPr>
      <w:r>
        <w:rPr>
          <w:rFonts w:ascii="Calibri" w:hAnsi="Calibri"/>
          <w:color w:val="1D2530"/>
          <w:sz w:val="18"/>
        </w:rPr>
        <w:t>Audit UX du parcours de souscription — BNP Paribas : frictions identifiées, plan de conduite du changement</w:t>
      </w:r>
    </w:p>
    <w:p>
      <w:pPr>
        <w:pStyle w:val="ListBullet"/>
        <w:spacing w:after="30"/>
      </w:pPr>
      <w:r>
        <w:rPr>
          <w:rFonts w:ascii="Calibri" w:hAnsi="Calibri"/>
          <w:color w:val="1D2530"/>
          <w:sz w:val="18"/>
        </w:rPr>
        <w:t>Audit SEO complet (56 p.) — Mustela &amp; Club Med : technique, sémantique, netlinking, EEAT</w:t>
      </w:r>
    </w:p>
    <w:p>
      <w:pPr>
        <w:pStyle w:val="ListBullet"/>
        <w:spacing w:after="30"/>
      </w:pPr>
      <w:r>
        <w:rPr>
          <w:rFonts w:ascii="Calibri" w:hAnsi="Calibri"/>
          <w:color w:val="1D2530"/>
          <w:sz w:val="18"/>
        </w:rPr>
        <w:t>Plan d'adoption d'un assistant IA — Lemonway : résistances anticipées, formation, garde-fous réglementaires</w:t>
      </w:r>
    </w:p>
    <w:p>
      <w:pPr>
        <w:spacing w:before="160" w:after="60"/>
        <w:pBdr>
          <w:bottom w:val="single" w:sz="5" w:space="2" w:color="12283F"/>
        </w:pBdr>
      </w:pPr>
      <w:r>
        <w:rPr>
          <w:rFonts w:ascii="Calibri" w:hAnsi="Calibri"/>
          <w:b/>
          <w:color w:val="A9793F"/>
          <w:sz w:val="21"/>
        </w:rPr>
        <w:t>COMPÉTENCES</w:t>
      </w:r>
    </w:p>
    <w:p>
      <w:pPr>
        <w:spacing w:after="120"/>
      </w:pPr>
      <w:r>
        <w:rPr>
          <w:rFonts w:ascii="Calibri" w:hAnsi="Calibri"/>
          <w:color w:val="12283F"/>
          <w:sz w:val="18"/>
        </w:rPr>
        <w:t>Google Ads · LinkedIn Ads · SEO/SEA · Salesforce · Pardot · HubSpot · GA4 · Power BI · Python/SQL · WordPress · IA générative &amp; Agents</w:t>
      </w:r>
    </w:p>
    <w:p>
      <w:pPr>
        <w:spacing w:before="160" w:after="60"/>
        <w:pBdr>
          <w:bottom w:val="single" w:sz="5" w:space="2" w:color="12283F"/>
        </w:pBdr>
      </w:pPr>
      <w:r>
        <w:rPr>
          <w:rFonts w:ascii="Calibri" w:hAnsi="Calibri"/>
          <w:b/>
          <w:color w:val="A9793F"/>
          <w:sz w:val="21"/>
        </w:rPr>
        <w:t>LANGUES</w:t>
      </w:r>
    </w:p>
    <w:p>
      <w:pPr>
        <w:spacing w:after="120"/>
      </w:pPr>
      <w:r>
        <w:rPr>
          <w:rFonts w:ascii="Calibri" w:hAnsi="Calibri"/>
          <w:color w:val="12283F"/>
          <w:sz w:val="18"/>
        </w:rPr>
        <w:t>Français C2 · Anglais C2 · Espagnol A2</w:t>
      </w:r>
    </w:p>
    <w:p/>
    <w:p>
      <w:pPr>
        <w:spacing w:after="0" w:before="0"/>
        <w:jc w:val="center"/>
      </w:pPr>
      <w:r>
        <w:rPr>
          <w:rFonts w:ascii="Calibri" w:hAnsi="Calibri"/>
          <w:b w:val="0"/>
          <w:i/>
          <w:color w:val="5B6472"/>
          <w:sz w:val="17"/>
        </w:rPr>
        <w:t>Le détail complet — études de cas, dashboards, code — est disponible sur mon portfolio en ligne.</w:t>
      </w:r>
    </w:p>
    <w:sectPr w:rsidR="00FC693F" w:rsidRPr="0006063C" w:rsidSect="00034616">
      <w:pgSz w:w="12240" w:h="15840"/>
      <w:pgMar w:top="737"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