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2283F"/>
          <w:sz w:val="30"/>
        </w:rPr>
        <w:t>CASE STUDY — CUSTOMER JOURNEY &amp; DIGITAL TRANSFORMATION</w:t>
      </w:r>
    </w:p>
    <w:p>
      <w:pPr>
        <w:spacing w:after="40"/>
        <w:jc w:val="center"/>
      </w:pPr>
      <w:r>
        <w:rPr>
          <w:rFonts w:ascii="Calibri" w:hAnsi="Calibri"/>
          <w:b w:val="0"/>
          <w:color w:val="A9793F"/>
          <w:sz w:val="25"/>
        </w:rPr>
        <w:t>Audit of the online card subscription journey</w:t>
      </w:r>
    </w:p>
    <w:p>
      <w:pPr>
        <w:spacing w:after="200"/>
        <w:jc w:val="center"/>
      </w:pPr>
      <w:r>
        <w:rPr>
          <w:rFonts w:ascii="Calibri" w:hAnsi="Calibri"/>
          <w:b w:val="0"/>
          <w:color w:val="5B6472"/>
          <w:sz w:val="22"/>
        </w:rPr>
        <w:t>BNP Paribas — Esprit Libre offer (bank card)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1. Context and objective</w:t>
      </w:r>
    </w:p>
    <w:p>
      <w:pPr>
        <w:spacing w:after="160"/>
      </w:pPr>
      <w:r>
        <w:rPr>
          <w:rFonts w:ascii="Calibri" w:hAnsi="Calibri"/>
          <w:b w:val="0"/>
          <w:color w:val="1D2530"/>
          <w:sz w:val="21"/>
        </w:rPr>
        <w:t>Subscribing to a bank card at BNP Paribas is now inseparable from opening an account, through the Esprit Libre offer, accessible online or via the Mes Comptes app. This journey intersects several challenges: marketing acquisition (highlighting a promotional offer and a welcome bonus), user experience (identity verification, initial deposit), and guiding the customer through the choice of a complex product, since four types of bank cards coexist.</w:t>
      </w:r>
    </w:p>
    <w:p>
      <w:pPr>
        <w:spacing w:after="160"/>
      </w:pPr>
      <w:r>
        <w:rPr>
          <w:rFonts w:ascii="Calibri" w:hAnsi="Calibri"/>
          <w:b w:val="0"/>
          <w:color w:val="1D2530"/>
          <w:sz w:val="21"/>
        </w:rPr>
        <w:t>Objective of this audit: identify the friction points in the online subscription journey and propose concrete recommendations, incorporating a dimension often overlooked in classic UX audits — the change management needed to get them adopted internally, across marketing, digital product and compliance teams.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2. Methodology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Journey audited: online subscription to a bank card under the Esprit Libre offer (mabanque.bnpparibas)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Approach: analysis of the conversion tunnel (steps, options offered, documentation requirements)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Analysis angle: marketing (clarity and appeal of the offer), user experience (simplicity, reassurance), organisational (internal barriers to improving the journey)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3. Observed journey — key steps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Choice of offer and card: four products coexist (Visa Electron, Classic, Premier, Infinite), plus a dedicated offer for minors (Origin card)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Online subscription to the Esprit Libre offer, with a defining choice between a biometric verification journey or an initial deposit of between €150 and €300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Income requirement check: from €3,000 net monthly for a fully online account opening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Submission of supporting documents: ID, proof of income, proof of address, bank details (RIB)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Application validation and card received within 5 business days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Welcome bonus subject to a double deadline: application validation, then bank confirmation before specific dates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4. Friction points identified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1228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Friction</w:t>
            </w:r>
          </w:p>
        </w:tc>
        <w:tc>
          <w:tcPr>
            <w:tcW w:type="dxa" w:w="2608"/>
            <w:shd w:val="clear" w:color="auto" w:fill="1228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impact</w:t>
            </w:r>
          </w:p>
        </w:tc>
        <w:tc>
          <w:tcPr>
            <w:tcW w:type="dxa" w:w="3515"/>
            <w:shd w:val="clear" w:color="auto" w:fill="1228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Observed element</w:t>
            </w:r>
          </w:p>
        </w:tc>
      </w:tr>
      <w:tr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Choice between 4 cards with no upfront guidance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Risk of drop-off or poor product choice</w:t>
            </w:r>
          </w:p>
        </w:tc>
        <w:tc>
          <w:tcPr>
            <w:tcW w:type="dxa" w:w="3515"/>
          </w:tcPr>
          <w:p>
            <w:r>
              <w:rPr>
                <w:rFonts w:ascii="Calibri" w:hAnsi="Calibri"/>
                <w:color w:val="1D2530"/>
                <w:sz w:val="18"/>
              </w:rPr>
              <w:t>The card comparison tool exists but isn't integrated upstream of the subscription tunnel</w:t>
            </w:r>
          </w:p>
        </w:tc>
      </w:tr>
      <w:tr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Income threshold (€3,000/month) for the fully-online option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Excludes part of the target audience (young professionals/students) with no immediate alternative</w:t>
            </w:r>
          </w:p>
        </w:tc>
        <w:tc>
          <w:tcPr>
            <w:tcW w:type="dxa" w:w="3515"/>
          </w:tcPr>
          <w:p>
            <w:r>
              <w:rPr>
                <w:rFonts w:ascii="Calibri" w:hAnsi="Calibri"/>
                <w:color w:val="1D2530"/>
                <w:sz w:val="18"/>
              </w:rPr>
              <w:t>Condition mentioned with no clear fallback journey offered at the same time</w:t>
            </w:r>
          </w:p>
        </w:tc>
      </w:tr>
      <w:tr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Binary biometric / initial-deposit choice poorly explained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Hesitation, drop-off mid-journey</w:t>
            </w:r>
          </w:p>
        </w:tc>
        <w:tc>
          <w:tcPr>
            <w:tcW w:type="dxa" w:w="3515"/>
          </w:tcPr>
          <w:p>
            <w:r>
              <w:rPr>
                <w:rFonts w:ascii="Calibri" w:hAnsi="Calibri"/>
                <w:color w:val="1D2530"/>
                <w:sz w:val="18"/>
              </w:rPr>
              <w:t>No time estimate or simplicity indicator shown to guide the choice</w:t>
            </w:r>
          </w:p>
        </w:tc>
      </w:tr>
      <w:tr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Welcome bonus conditions poorly visible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color w:val="1D2530"/>
                <w:sz w:val="18"/>
              </w:rPr>
              <w:t>Confusion or loss of trust if the customer misses the deadline</w:t>
            </w:r>
          </w:p>
        </w:tc>
        <w:tc>
          <w:tcPr>
            <w:tcW w:type="dxa" w:w="3515"/>
          </w:tcPr>
          <w:p>
            <w:r>
              <w:rPr>
                <w:rFonts w:ascii="Calibri" w:hAnsi="Calibri"/>
                <w:color w:val="1D2530"/>
                <w:sz w:val="18"/>
              </w:rPr>
              <w:t>Validity dates (e.g. validation then confirmation a month apart) relegated to the legal notice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5. Recommendations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Reposition the card comparison tool upstream of the tunnel, as a short quiz ("3 questions to find your card")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Create a visible, reassuring fallback journey for profiles below the income threshold: transparent pre-qualification plus a branch appointment offered from the start, not as a final dead end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Display an estimated time per step ("3 min — ID document", "2 min — proof of address") to reduce drop-off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Make a clear banner about the welcome bonus's conditions and deadlines visible from the very start of the tunnel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6. Change management — getting these recommendations adopted internally</w:t>
      </w:r>
    </w:p>
    <w:p>
      <w:pPr>
        <w:spacing w:after="160"/>
      </w:pPr>
      <w:r>
        <w:rPr>
          <w:rFonts w:ascii="Calibri" w:hAnsi="Calibri"/>
          <w:b w:val="0"/>
          <w:color w:val="1D2530"/>
          <w:sz w:val="21"/>
        </w:rPr>
        <w:t>In a bank like BNP Paribas, these changes touch at least three teams: acquisition marketing, digital product and compliance/KYC. A simple UX audit isn't enough to bring them to life; here is how I would structure their adoption: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Present the friction points with quantified data (drop-off rate per step, or documented hypotheses) to make the case objectively to the teams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Involve compliance from the outset: the income threshold and required documents are a regulatory matter, not just a UX one — co-building them avoids a late-stage blocker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A/B test the changes on a limited segment before any large-scale rollout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Train support and branch teams on the new journey, so the digital-to-branch handoff stays smooth for the customer</w:t>
      </w:r>
    </w:p>
    <w:p>
      <w:pPr>
        <w:spacing w:before="280" w:after="120"/>
        <w:pBdr>
          <w:bottom w:val="single" w:sz="6" w:space="2" w:color="12283F"/>
        </w:pBdr>
      </w:pPr>
      <w:r>
        <w:rPr>
          <w:rFonts w:ascii="Calibri" w:hAnsi="Calibri"/>
          <w:b/>
          <w:color w:val="A9793F"/>
          <w:sz w:val="26"/>
        </w:rPr>
        <w:t>7. What this case demonstrates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An ability to analyse a customer journey through a dual marketing and user-experience lens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An understanding of the regulatory constraints specific to the banking sector</w:t>
      </w:r>
    </w:p>
    <w:p>
      <w:pPr>
        <w:pStyle w:val="ListBullet"/>
        <w:spacing w:after="80"/>
      </w:pPr>
      <w:r>
        <w:rPr>
          <w:rFonts w:ascii="Calibri" w:hAnsi="Calibri"/>
          <w:color w:val="1D2530"/>
          <w:sz w:val="21"/>
        </w:rPr>
        <w:t>An ability to formulate recommendations and anticipate their internal adoption — change management — rather than just listing ideas</w:t>
      </w:r>
    </w:p>
    <w:p/>
    <w:p>
      <w:pPr>
        <w:spacing w:after="0"/>
        <w:jc w:val="center"/>
      </w:pPr>
      <w:r>
        <w:rPr>
          <w:rFonts w:ascii="Calibri" w:hAnsi="Calibri"/>
          <w:b w:val="0"/>
          <w:color w:val="5B6472"/>
          <w:sz w:val="19"/>
        </w:rPr>
        <w:t>Daryne Voufo — Digital Marketing &amp; Customer Journey Transformation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