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2283F"/>
          <w:sz w:val="30"/>
        </w:rPr>
        <w:t>FRAMING NOTE — CHANGE MANAGEMENT</w:t>
      </w:r>
    </w:p>
    <w:p>
      <w:pPr>
        <w:spacing w:after="40"/>
        <w:jc w:val="center"/>
      </w:pPr>
      <w:r>
        <w:rPr>
          <w:rFonts w:ascii="Calibri" w:hAnsi="Calibri"/>
          <w:b w:val="0"/>
          <w:color w:val="A9793F"/>
          <w:sz w:val="25"/>
        </w:rPr>
        <w:t>Deployment of an AI assistant for support &amp; marketing</w:t>
      </w:r>
    </w:p>
    <w:p>
      <w:pPr>
        <w:spacing w:after="200"/>
        <w:jc w:val="center"/>
      </w:pPr>
      <w:r>
        <w:rPr>
          <w:rFonts w:ascii="Calibri" w:hAnsi="Calibri"/>
          <w:b w:val="0"/>
          <w:color w:val="5B6472"/>
          <w:sz w:val="22"/>
        </w:rPr>
        <w:t>Use case inspired by the Lemonway context (B2B fintech — payment solutions)</w:t>
      </w:r>
    </w:p>
    <w:p>
      <w:pPr>
        <w:spacing w:before="280" w:after="120"/>
        <w:pBdr>
          <w:bottom w:val="single" w:sz="6" w:space="2" w:color="12283F"/>
        </w:pBdr>
      </w:pPr>
      <w:r>
        <w:rPr>
          <w:rFonts w:ascii="Calibri" w:hAnsi="Calibri"/>
          <w:b/>
          <w:color w:val="A9793F"/>
          <w:sz w:val="26"/>
        </w:rPr>
        <w:t>1. Context and challenge</w:t>
      </w:r>
    </w:p>
    <w:p>
      <w:pPr>
        <w:spacing w:after="160"/>
      </w:pPr>
      <w:r>
        <w:rPr>
          <w:rFonts w:ascii="Calibri" w:hAnsi="Calibri"/>
          <w:b w:val="0"/>
          <w:color w:val="1D2530"/>
          <w:sz w:val="21"/>
        </w:rPr>
        <w:t>A B2B fintech specialising in payment solutions for marketplaces and platforms faces a growing volume of requests: customer/partner questions on the support side, and content production needs on the marketing side (FAQs, sales arguments, competitive intelligence). Management wants to deploy an AI assistant to absorb part of this load, without degrading service quality or compliance — a sensitive point in a regulated sector like payments.</w:t>
      </w:r>
    </w:p>
    <w:p>
      <w:pPr>
        <w:spacing w:after="160"/>
      </w:pPr>
      <w:r>
        <w:rPr>
          <w:rFonts w:ascii="Calibri" w:hAnsi="Calibri"/>
          <w:b w:val="0"/>
          <w:color w:val="1D2530"/>
          <w:sz w:val="21"/>
        </w:rPr>
        <w:t>Objective of this note: structure the tool's adoption by the teams concerned, anticipating resistance rather than reacting to it.</w:t>
      </w:r>
    </w:p>
    <w:p>
      <w:pPr>
        <w:spacing w:before="280" w:after="120"/>
        <w:pBdr>
          <w:bottom w:val="single" w:sz="6" w:space="2" w:color="12283F"/>
        </w:pBdr>
      </w:pPr>
      <w:r>
        <w:rPr>
          <w:rFonts w:ascii="Calibri" w:hAnsi="Calibri"/>
          <w:b/>
          <w:color w:val="A9793F"/>
          <w:sz w:val="26"/>
        </w:rPr>
        <w:t>2. Target audience and anticipated resistance</w:t>
      </w:r>
    </w:p>
    <w:tbl>
      <w:tblPr>
        <w:tblW w:type="auto" w:w="0"/>
        <w:jc w:val="center"/>
        <w:tblLook w:firstColumn="1" w:firstRow="1" w:lastColumn="0" w:lastRow="0" w:noHBand="0" w:noVBand="1" w:val="04A0"/>
      </w:tblPr>
      <w:tblGrid>
        <w:gridCol w:w="4873"/>
        <w:gridCol w:w="4873"/>
      </w:tblGrid>
      <w:tr>
        <w:tc>
          <w:tcPr>
            <w:tcW w:type="dxa" w:w="2494"/>
            <w:shd w:val="clear" w:color="auto" w:fill="12283F"/>
          </w:tcPr>
          <w:p>
            <w:r>
              <w:rPr>
                <w:rFonts w:ascii="Calibri" w:hAnsi="Calibri"/>
                <w:b/>
                <w:color w:val="FFFFFF"/>
                <w:sz w:val="19"/>
              </w:rPr>
              <w:t>Audience</w:t>
            </w:r>
          </w:p>
        </w:tc>
        <w:tc>
          <w:tcPr>
            <w:tcW w:type="dxa" w:w="6236"/>
            <w:shd w:val="clear" w:color="auto" w:fill="12283F"/>
          </w:tcPr>
          <w:p>
            <w:r>
              <w:rPr>
                <w:rFonts w:ascii="Calibri" w:hAnsi="Calibri"/>
                <w:b/>
                <w:color w:val="FFFFFF"/>
                <w:sz w:val="19"/>
              </w:rPr>
              <w:t>Likely resistance</w:t>
            </w:r>
          </w:p>
        </w:tc>
      </w:tr>
      <w:tr>
        <w:tc>
          <w:tcPr>
            <w:tcW w:type="dxa" w:w="2494"/>
          </w:tcPr>
          <w:p>
            <w:r>
              <w:rPr>
                <w:rFonts w:ascii="Calibri" w:hAnsi="Calibri"/>
                <w:color w:val="1D2530"/>
                <w:sz w:val="19"/>
              </w:rPr>
              <w:t>Support team</w:t>
            </w:r>
          </w:p>
        </w:tc>
        <w:tc>
          <w:tcPr>
            <w:tcW w:type="dxa" w:w="6236"/>
          </w:tcPr>
          <w:p>
            <w:r>
              <w:rPr>
                <w:rFonts w:ascii="Calibri" w:hAnsi="Calibri"/>
                <w:color w:val="1D2530"/>
                <w:sz w:val="19"/>
              </w:rPr>
              <w:t>Fear of being replaced, distrust of AI answer reliability on regulated topics (payments, KYC)</w:t>
            </w:r>
          </w:p>
        </w:tc>
      </w:tr>
      <w:tr>
        <w:tc>
          <w:tcPr>
            <w:tcW w:type="dxa" w:w="2494"/>
          </w:tcPr>
          <w:p>
            <w:r>
              <w:rPr>
                <w:rFonts w:ascii="Calibri" w:hAnsi="Calibri"/>
                <w:color w:val="1D2530"/>
                <w:sz w:val="19"/>
              </w:rPr>
              <w:t>Marketing team</w:t>
            </w:r>
          </w:p>
        </w:tc>
        <w:tc>
          <w:tcPr>
            <w:tcW w:type="dxa" w:w="6236"/>
          </w:tcPr>
          <w:p>
            <w:r>
              <w:rPr>
                <w:rFonts w:ascii="Calibri" w:hAnsi="Calibri"/>
                <w:color w:val="1D2530"/>
                <w:sz w:val="19"/>
              </w:rPr>
              <w:t>Scepticism about the relevance of generated content, fear of diluting the brand voice, overload from systematic fact-checking</w:t>
            </w:r>
          </w:p>
        </w:tc>
      </w:tr>
      <w:tr>
        <w:tc>
          <w:tcPr>
            <w:tcW w:type="dxa" w:w="2494"/>
          </w:tcPr>
          <w:p>
            <w:r>
              <w:rPr>
                <w:rFonts w:ascii="Calibri" w:hAnsi="Calibri"/>
                <w:color w:val="1D2530"/>
                <w:sz w:val="19"/>
              </w:rPr>
              <w:t>Management</w:t>
            </w:r>
          </w:p>
        </w:tc>
        <w:tc>
          <w:tcPr>
            <w:tcW w:type="dxa" w:w="6236"/>
          </w:tcPr>
          <w:p>
            <w:r>
              <w:rPr>
                <w:rFonts w:ascii="Calibri" w:hAnsi="Calibri"/>
                <w:color w:val="1D2530"/>
                <w:sz w:val="19"/>
              </w:rPr>
              <w:t>Expectation of a quick return on investment, risk of over-promising if the rollout is poorly scoped</w:t>
            </w:r>
          </w:p>
        </w:tc>
      </w:tr>
    </w:tbl>
    <w:p>
      <w:pPr>
        <w:spacing w:after="80"/>
      </w:pPr>
    </w:p>
    <w:p>
      <w:pPr>
        <w:spacing w:before="280" w:after="120"/>
        <w:pBdr>
          <w:bottom w:val="single" w:sz="6" w:space="2" w:color="12283F"/>
        </w:pBdr>
      </w:pPr>
      <w:r>
        <w:rPr>
          <w:rFonts w:ascii="Calibri" w:hAnsi="Calibri"/>
          <w:b/>
          <w:color w:val="A9793F"/>
          <w:sz w:val="26"/>
        </w:rPr>
        <w:t>3. Communication plan</w:t>
      </w:r>
    </w:p>
    <w:p>
      <w:pPr>
        <w:pStyle w:val="ListBullet"/>
        <w:spacing w:after="80"/>
      </w:pPr>
      <w:r>
        <w:rPr>
          <w:rFonts w:ascii="Calibri" w:hAnsi="Calibri"/>
          <w:color w:val="1D2530"/>
          <w:sz w:val="21"/>
        </w:rPr>
        <w:t>Clearly position the tool as an assistant, not a replacement, from the very first announcement</w:t>
      </w:r>
    </w:p>
    <w:p>
      <w:pPr>
        <w:pStyle w:val="ListBullet"/>
        <w:spacing w:after="80"/>
      </w:pPr>
      <w:r>
        <w:rPr>
          <w:rFonts w:ascii="Calibri" w:hAnsi="Calibri"/>
          <w:color w:val="1D2530"/>
          <w:sz w:val="21"/>
        </w:rPr>
        <w:t>Communicate in several waves: a general announcement at a team meeting, a demo on a real, concrete use case, then a testing period with a volunteer pilot group</w:t>
      </w:r>
    </w:p>
    <w:p>
      <w:pPr>
        <w:pStyle w:val="ListBullet"/>
        <w:spacing w:after="80"/>
      </w:pPr>
      <w:r>
        <w:rPr>
          <w:rFonts w:ascii="Calibri" w:hAnsi="Calibri"/>
          <w:color w:val="1D2530"/>
          <w:sz w:val="21"/>
        </w:rPr>
        <w:t>Open dedicated Q&amp;A sessions and an internal FAQ to defuse concerns as they arise</w:t>
      </w:r>
    </w:p>
    <w:p>
      <w:pPr>
        <w:spacing w:before="280" w:after="120"/>
        <w:pBdr>
          <w:bottom w:val="single" w:sz="6" w:space="2" w:color="12283F"/>
        </w:pBdr>
      </w:pPr>
      <w:r>
        <w:rPr>
          <w:rFonts w:ascii="Calibri" w:hAnsi="Calibri"/>
          <w:b/>
          <w:color w:val="A9793F"/>
          <w:sz w:val="26"/>
        </w:rPr>
        <w:t>4. Training and support</w:t>
      </w:r>
    </w:p>
    <w:p>
      <w:pPr>
        <w:pStyle w:val="ListBullet"/>
        <w:spacing w:after="80"/>
      </w:pPr>
      <w:r>
        <w:rPr>
          <w:rFonts w:ascii="Calibri" w:hAnsi="Calibri"/>
          <w:color w:val="1D2530"/>
          <w:sz w:val="21"/>
        </w:rPr>
        <w:t>Hands-on workshops tailored by function (support / marketing) rather than a single generic training</w:t>
      </w:r>
    </w:p>
    <w:p>
      <w:pPr>
        <w:pStyle w:val="ListBullet"/>
        <w:spacing w:after="80"/>
      </w:pPr>
      <w:r>
        <w:rPr>
          <w:rFonts w:ascii="Calibri" w:hAnsi="Calibri"/>
          <w:color w:val="1D2530"/>
          <w:sz w:val="21"/>
        </w:rPr>
        <w:t>Building guardrails and prompts with compliance involved from the start, given the regulatory sensitivity of the payments sector</w:t>
      </w:r>
    </w:p>
    <w:p>
      <w:pPr>
        <w:pStyle w:val="ListBullet"/>
        <w:spacing w:after="80"/>
      </w:pPr>
      <w:r>
        <w:rPr>
          <w:rFonts w:ascii="Calibri" w:hAnsi="Calibri"/>
          <w:color w:val="1D2530"/>
          <w:sz w:val="21"/>
        </w:rPr>
        <w:t>Identifying "champions" per team, responsible for surfacing on-the-ground friction and supporting their peers day to day</w:t>
      </w:r>
    </w:p>
    <w:p>
      <w:pPr>
        <w:spacing w:before="280" w:after="120"/>
        <w:pBdr>
          <w:bottom w:val="single" w:sz="6" w:space="2" w:color="12283F"/>
        </w:pBdr>
      </w:pPr>
      <w:r>
        <w:rPr>
          <w:rFonts w:ascii="Calibri" w:hAnsi="Calibri"/>
          <w:b/>
          <w:color w:val="A9793F"/>
          <w:sz w:val="26"/>
        </w:rPr>
        <w:t>5. Success indicators</w:t>
      </w:r>
    </w:p>
    <w:p>
      <w:pPr>
        <w:pStyle w:val="ListBullet"/>
        <w:spacing w:after="80"/>
      </w:pPr>
      <w:r>
        <w:rPr>
          <w:rFonts w:ascii="Calibri" w:hAnsi="Calibri"/>
          <w:color w:val="1D2530"/>
          <w:sz w:val="21"/>
        </w:rPr>
        <w:t>Voluntary adoption rate of the tool after one month of use</w:t>
      </w:r>
    </w:p>
    <w:p>
      <w:pPr>
        <w:pStyle w:val="ListBullet"/>
        <w:spacing w:after="80"/>
      </w:pPr>
      <w:r>
        <w:rPr>
          <w:rFonts w:ascii="Calibri" w:hAnsi="Calibri"/>
          <w:color w:val="1D2530"/>
          <w:sz w:val="21"/>
        </w:rPr>
        <w:t>Change in average support ticket handling time before/after deployment</w:t>
      </w:r>
    </w:p>
    <w:p>
      <w:pPr>
        <w:pStyle w:val="ListBullet"/>
        <w:spacing w:after="80"/>
      </w:pPr>
      <w:r>
        <w:rPr>
          <w:rFonts w:ascii="Calibri" w:hAnsi="Calibri"/>
          <w:color w:val="1D2530"/>
          <w:sz w:val="21"/>
        </w:rPr>
        <w:t>Rate of human correction needed on generated answers or content, as a quality indicator</w:t>
      </w:r>
    </w:p>
    <w:p>
      <w:pPr>
        <w:pStyle w:val="ListBullet"/>
        <w:spacing w:after="80"/>
      </w:pPr>
      <w:r>
        <w:rPr>
          <w:rFonts w:ascii="Calibri" w:hAnsi="Calibri"/>
          <w:color w:val="1D2530"/>
          <w:sz w:val="21"/>
        </w:rPr>
        <w:t>Level of internal trust and satisfaction, measured via a short pulse survey</w:t>
      </w:r>
    </w:p>
    <w:p>
      <w:pPr>
        <w:spacing w:before="280" w:after="120"/>
        <w:pBdr>
          <w:bottom w:val="single" w:sz="6" w:space="2" w:color="12283F"/>
        </w:pBdr>
      </w:pPr>
      <w:r>
        <w:rPr>
          <w:rFonts w:ascii="Calibri" w:hAnsi="Calibri"/>
          <w:b/>
          <w:color w:val="A9793F"/>
          <w:sz w:val="26"/>
        </w:rPr>
        <w:t>6. Risks and mitigation</w:t>
      </w:r>
    </w:p>
    <w:p>
      <w:pPr>
        <w:pStyle w:val="ListBullet"/>
        <w:spacing w:after="80"/>
      </w:pPr>
      <w:r>
        <w:rPr>
          <w:rFonts w:ascii="Calibri" w:hAnsi="Calibri"/>
          <w:color w:val="1D2530"/>
          <w:sz w:val="21"/>
        </w:rPr>
        <w:t>Regulatory risk: an incorrect answer on a payment/KYC topic can have serious consequences → mandatory human validation on sensitive topics, AI restricted to non-regulated FAQs initially</w:t>
      </w:r>
    </w:p>
    <w:p>
      <w:pPr>
        <w:pStyle w:val="ListBullet"/>
        <w:spacing w:after="80"/>
      </w:pPr>
      <w:r>
        <w:rPr>
          <w:rFonts w:ascii="Calibri" w:hAnsi="Calibri"/>
          <w:color w:val="1D2530"/>
          <w:sz w:val="21"/>
        </w:rPr>
        <w:t>Superficial adoption risk: the tool is used without being genuinely trusted → measure actual usage rather than self-reported usage alone</w:t>
      </w:r>
    </w:p>
    <w:p>
      <w:pPr>
        <w:spacing w:before="280" w:after="120"/>
        <w:pBdr>
          <w:bottom w:val="single" w:sz="6" w:space="2" w:color="12283F"/>
        </w:pBdr>
      </w:pPr>
      <w:r>
        <w:rPr>
          <w:rFonts w:ascii="Calibri" w:hAnsi="Calibri"/>
          <w:b/>
          <w:color w:val="A9793F"/>
          <w:sz w:val="26"/>
        </w:rPr>
        <w:t>7. What this case demonstrates</w:t>
      </w:r>
    </w:p>
    <w:p>
      <w:pPr>
        <w:pStyle w:val="ListBullet"/>
        <w:spacing w:after="80"/>
      </w:pPr>
      <w:r>
        <w:rPr>
          <w:rFonts w:ascii="Calibri" w:hAnsi="Calibri"/>
          <w:color w:val="1D2530"/>
          <w:sz w:val="21"/>
        </w:rPr>
        <w:t>An ability to anticipate human resistance to a technological transformation, beyond the tool itself</w:t>
      </w:r>
    </w:p>
    <w:p>
      <w:pPr>
        <w:pStyle w:val="ListBullet"/>
        <w:spacing w:after="80"/>
      </w:pPr>
      <w:r>
        <w:rPr>
          <w:rFonts w:ascii="Calibri" w:hAnsi="Calibri"/>
          <w:color w:val="1D2530"/>
          <w:sz w:val="21"/>
        </w:rPr>
        <w:t>A sensitivity to the regulatory challenges specific to the fintech sector</w:t>
      </w:r>
    </w:p>
    <w:p>
      <w:pPr>
        <w:pStyle w:val="ListBullet"/>
        <w:spacing w:after="80"/>
      </w:pPr>
      <w:r>
        <w:rPr>
          <w:rFonts w:ascii="Calibri" w:hAnsi="Calibri"/>
          <w:color w:val="1D2530"/>
          <w:sz w:val="21"/>
        </w:rPr>
        <w:t>A pragmatic approach to adoption: gradual, measurable, with clear guardrails rather than a "big bang" rollout</w:t>
      </w:r>
    </w:p>
    <w:p/>
    <w:p>
      <w:pPr>
        <w:spacing w:after="0"/>
        <w:jc w:val="center"/>
      </w:pPr>
      <w:r>
        <w:rPr>
          <w:rFonts w:ascii="Calibri" w:hAnsi="Calibri"/>
          <w:b w:val="0"/>
          <w:color w:val="5B6472"/>
          <w:sz w:val="19"/>
        </w:rPr>
        <w:t>Daryne Voufo — Digital Marketing &amp; Customer Journey Transformation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