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Georgia" w:hAnsi="Georgia"/>
          <w:b/>
          <w:color w:val="12283F"/>
          <w:sz w:val="30"/>
        </w:rPr>
        <w:t>BNP PARIBAS</w:t>
      </w:r>
    </w:p>
    <w:p>
      <w:pPr>
        <w:spacing w:after="40"/>
      </w:pPr>
      <w:r>
        <w:rPr>
          <w:b/>
          <w:bCs/>
          <w:color w:val="555555"/>
          <w:sz w:val="18"/>
          <w:szCs w:val="18"/>
        </w:rPr>
        <w:t xml:space="preserve">ÉTUDE DE CAS — PARCOURS CLIENT &amp; TRANSFORMATION DIGITALE</w:t>
      </w:r>
    </w:p>
    <w:p>
      <w:pPr>
        <w:spacing w:after="60"/>
      </w:pPr>
      <w:r>
        <w:rPr>
          <w:b/>
          <w:bCs/>
          <w:color w:val="1B2A4A"/>
          <w:sz w:val="34"/>
          <w:szCs w:val="34"/>
        </w:rPr>
        <w:t xml:space="preserve">Audit du parcours de souscription en ligne</w:t>
      </w:r>
    </w:p>
    <w:p>
      <w:pPr>
        <w:spacing w:after="300"/>
      </w:pPr>
      <w:r>
        <w:rPr>
          <w:i/>
          <w:iCs/>
          <w:color w:val="555555"/>
          <w:sz w:val="22"/>
          <w:szCs w:val="22"/>
        </w:rPr>
        <w:t xml:space="preserve">BNP Paribas — Offre Esprit Libre (carte bancaire)</w:t>
      </w:r>
    </w:p>
    <w:p>
      <w:pPr>
        <w:pStyle w:val="Heading1"/>
        <w:spacing w:after="150" w:before="300"/>
      </w:pPr>
      <w:r>
        <w:rPr>
          <w:b/>
          <w:bCs/>
          <w:color w:val="1B2A4A"/>
          <w:sz w:val="26"/>
          <w:szCs w:val="26"/>
        </w:rPr>
        <w:t xml:space="preserve">1. Contexte et objectif</w:t>
      </w:r>
    </w:p>
    <w:p>
      <w:pPr>
        <w:spacing w:after="120"/>
      </w:pPr>
      <w:r>
        <w:rPr>
          <w:sz w:val="21"/>
          <w:szCs w:val="21"/>
        </w:rPr>
        <w:t xml:space="preserve">La souscription à une carte bancaire chez BNP Paribas est aujourd'hui indissociable de l'ouverture de compte, via l'offre Esprit Libre, accessible en ligne ou depuis l'application Mes Comptes. Ce parcours croise plusieurs enjeux : l'acquisition marketing (mise en avant d'une offre promotionnelle et d'une prime de bienvenue), l'expérience utilisateur (vérification d'identité, versement initial) et l'accompagnement du client dans le choix d'un produit complexe, puisque quatre types de cartes bancaires coexistent.</w:t>
      </w:r>
    </w:p>
    <w:p>
      <w:pPr>
        <w:spacing w:after="120"/>
      </w:pPr>
      <w:r>
        <w:rPr>
          <w:sz w:val="21"/>
          <w:szCs w:val="21"/>
        </w:rPr>
        <w:t xml:space="preserve">Objectif de cet audit : identifier les frictions du parcours de souscription en ligne et proposer des recommandations concrètes, en intégrant une dimension souvent oubliée dans les audits UX classiques — la conduite du changement nécessaire pour les faire adopter en interne, entre équipes marketing, produit digital et conformité.</w:t>
      </w:r>
    </w:p>
    <w:p>
      <w:pPr>
        <w:pStyle w:val="Heading1"/>
        <w:spacing w:after="150" w:before="300"/>
      </w:pPr>
      <w:r>
        <w:rPr>
          <w:b/>
          <w:bCs/>
          <w:color w:val="1B2A4A"/>
          <w:sz w:val="26"/>
          <w:szCs w:val="26"/>
        </w:rPr>
        <w:t xml:space="preserve">2. Méthodologie</w:t>
      </w:r>
    </w:p>
    <w:p>
      <w:pPr>
        <w:pStyle w:val="ListParagraph"/>
        <w:numPr>
          <w:ilvl w:val="0"/>
          <w:numId w:val="2"/>
        </w:numPr>
        <w:spacing w:after="60"/>
      </w:pPr>
      <w:r>
        <w:rPr>
          <w:sz w:val="21"/>
          <w:szCs w:val="21"/>
        </w:rPr>
        <w:t xml:space="preserve">Parcours audité : souscription en ligne à une carte bancaire dans le cadre de l'offre Esprit Libre (mabanque.bnpparibas)</w:t>
      </w:r>
    </w:p>
    <w:p>
      <w:pPr>
        <w:pStyle w:val="ListParagraph"/>
        <w:numPr>
          <w:ilvl w:val="0"/>
          <w:numId w:val="2"/>
        </w:numPr>
        <w:spacing w:after="60"/>
      </w:pPr>
      <w:r>
        <w:rPr>
          <w:sz w:val="21"/>
          <w:szCs w:val="21"/>
        </w:rPr>
        <w:t xml:space="preserve">Approche : analyse du tunnel de conversion (étapes, choix proposés, exigences documentaires)</w:t>
      </w:r>
    </w:p>
    <w:p>
      <w:pPr>
        <w:pStyle w:val="ListParagraph"/>
        <w:numPr>
          <w:ilvl w:val="0"/>
          <w:numId w:val="2"/>
        </w:numPr>
        <w:spacing w:after="60"/>
      </w:pPr>
      <w:r>
        <w:rPr>
          <w:sz w:val="21"/>
          <w:szCs w:val="21"/>
        </w:rPr>
        <w:t xml:space="preserve">Angle d'analyse : marketing (clarté et incitation de l'offre), expérience utilisateur (simplicité, réassurance), organisationnel (freins internes à l'amélioration du parcours)</w:t>
      </w:r>
    </w:p>
    <w:p>
      <w:pPr>
        <w:pStyle w:val="Heading1"/>
        <w:spacing w:after="150" w:before="300"/>
      </w:pPr>
      <w:r>
        <w:rPr>
          <w:b/>
          <w:bCs/>
          <w:color w:val="1B2A4A"/>
          <w:sz w:val="26"/>
          <w:szCs w:val="26"/>
        </w:rPr>
        <w:t xml:space="preserve">3. Parcours observé — étapes clés</w:t>
      </w:r>
    </w:p>
    <w:p>
      <w:pPr>
        <w:pStyle w:val="ListParagraph"/>
        <w:numPr>
          <w:ilvl w:val="0"/>
          <w:numId w:val="3"/>
        </w:numPr>
        <w:spacing w:after="60"/>
      </w:pPr>
      <w:r>
        <w:rPr>
          <w:sz w:val="21"/>
          <w:szCs w:val="21"/>
        </w:rPr>
        <w:t xml:space="preserve">Choix de l'offre et de la carte : quatre produits coexistent (Visa Electron, Classic, Premier, Infinite), plus une offre dédiée aux mineurs (carte Origin)</w:t>
      </w:r>
    </w:p>
    <w:p>
      <w:pPr>
        <w:pStyle w:val="ListParagraph"/>
        <w:numPr>
          <w:ilvl w:val="0"/>
          <w:numId w:val="3"/>
        </w:numPr>
        <w:spacing w:after="60"/>
      </w:pPr>
      <w:r>
        <w:rPr>
          <w:sz w:val="21"/>
          <w:szCs w:val="21"/>
        </w:rPr>
        <w:t xml:space="preserve">Souscription en ligne à l'offre Esprit Libre, avec un choix structurant entre un parcours de vérification biométrique ou un versement initial compris entre 150€ et 300€</w:t>
      </w:r>
    </w:p>
    <w:p>
      <w:pPr>
        <w:pStyle w:val="ListParagraph"/>
        <w:numPr>
          <w:ilvl w:val="0"/>
          <w:numId w:val="3"/>
        </w:numPr>
        <w:spacing w:after="60"/>
      </w:pPr>
      <w:r>
        <w:rPr>
          <w:sz w:val="21"/>
          <w:szCs w:val="21"/>
        </w:rPr>
        <w:t xml:space="preserve">Vérification des conditions de revenus : à partir de 3000€ nets mensuels pour une ouverture 100% en ligne</w:t>
      </w:r>
    </w:p>
    <w:p>
      <w:pPr>
        <w:pStyle w:val="ListParagraph"/>
        <w:numPr>
          <w:ilvl w:val="0"/>
          <w:numId w:val="3"/>
        </w:numPr>
        <w:spacing w:after="60"/>
      </w:pPr>
      <w:r>
        <w:rPr>
          <w:sz w:val="21"/>
          <w:szCs w:val="21"/>
        </w:rPr>
        <w:t xml:space="preserve">Fourniture des pièces justificatives : identité, revenus, domicile, RIB</w:t>
      </w:r>
    </w:p>
    <w:p>
      <w:pPr>
        <w:pStyle w:val="ListParagraph"/>
        <w:numPr>
          <w:ilvl w:val="0"/>
          <w:numId w:val="3"/>
        </w:numPr>
        <w:spacing w:after="60"/>
      </w:pPr>
      <w:r>
        <w:rPr>
          <w:sz w:val="21"/>
          <w:szCs w:val="21"/>
        </w:rPr>
        <w:t xml:space="preserve">Validation de la demande et réception de la carte sous 5 jours ouvrés</w:t>
      </w:r>
    </w:p>
    <w:p>
      <w:pPr>
        <w:pStyle w:val="ListParagraph"/>
        <w:numPr>
          <w:ilvl w:val="0"/>
          <w:numId w:val="3"/>
        </w:numPr>
        <w:spacing w:after="60"/>
      </w:pPr>
      <w:r>
        <w:rPr>
          <w:sz w:val="21"/>
          <w:szCs w:val="21"/>
        </w:rPr>
        <w:t xml:space="preserve">Prime de bienvenue soumise à une double échéance : validation de la demande puis confirmation bancaire avant des dates précises</w:t>
      </w:r>
    </w:p>
    <w:p>
      <w:pPr>
        <w:pStyle w:val="Heading1"/>
        <w:spacing w:after="150" w:before="300"/>
      </w:pPr>
      <w:r>
        <w:rPr>
          <w:b/>
          <w:bCs/>
          <w:color w:val="1B2A4A"/>
          <w:sz w:val="26"/>
          <w:szCs w:val="26"/>
        </w:rPr>
        <w:t xml:space="preserve">4. Frictions identifiées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300"/>
      </w:tblGrid>
      <w:tr>
        <w:tc>
          <w:tcPr>
            <w:tcW w:type="dxa" w:w="3000"/>
            <w:shd w:fill="1B2A4A" w:val="clear"/>
            <w:tcMar>
              <w:top w:type="dxa" w:w="100"/>
              <w:left w:type="dxa" w:w="120"/>
              <w:bottom w:type="dxa" w:w="100"/>
              <w:right w:type="dxa" w:w="120"/>
            </w:tcMar>
          </w:tcPr>
          <w:p>
            <w:r>
              <w:rPr>
                <w:b/>
                <w:bCs/>
                <w:color w:val="FFFFFF"/>
                <w:sz w:val="19"/>
                <w:szCs w:val="19"/>
              </w:rPr>
              <w:t xml:space="preserve">Friction</w:t>
            </w:r>
          </w:p>
        </w:tc>
        <w:tc>
          <w:tcPr>
            <w:tcW w:type="dxa" w:w="3400"/>
            <w:shd w:fill="1B2A4A" w:val="clear"/>
            <w:tcMar>
              <w:top w:type="dxa" w:w="100"/>
              <w:left w:type="dxa" w:w="120"/>
              <w:bottom w:type="dxa" w:w="100"/>
              <w:right w:type="dxa" w:w="120"/>
            </w:tcMar>
          </w:tcPr>
          <w:p>
            <w:r>
              <w:rPr>
                <w:b/>
                <w:bCs/>
                <w:color w:val="FFFFFF"/>
                <w:sz w:val="19"/>
                <w:szCs w:val="19"/>
              </w:rPr>
              <w:t xml:space="preserve">Impact probable</w:t>
            </w:r>
          </w:p>
        </w:tc>
        <w:tc>
          <w:tcPr>
            <w:tcW w:type="dxa" w:w="3300"/>
            <w:shd w:fill="1B2A4A" w:val="clear"/>
            <w:tcMar>
              <w:top w:type="dxa" w:w="100"/>
              <w:left w:type="dxa" w:w="120"/>
              <w:bottom w:type="dxa" w:w="100"/>
              <w:right w:type="dxa" w:w="120"/>
            </w:tcMar>
          </w:tcPr>
          <w:p>
            <w:r>
              <w:rPr>
                <w:b/>
                <w:bCs/>
                <w:color w:val="FFFFFF"/>
                <w:sz w:val="19"/>
                <w:szCs w:val="19"/>
              </w:rPr>
              <w:t xml:space="preserve">Élément observé</w:t>
            </w:r>
          </w:p>
        </w:tc>
      </w:tr>
      <w:tr>
        <w:tc>
          <w:tcPr>
            <w:tcW w:type="dxa" w:w="3000"/>
            <w:tcMar>
              <w:top w:type="dxa" w:w="100"/>
              <w:left w:type="dxa" w:w="120"/>
              <w:bottom w:type="dxa" w:w="100"/>
              <w:right w:type="dxa" w:w="120"/>
            </w:tcMar>
          </w:tcPr>
          <w:p>
            <w:r>
              <w:rPr>
                <w:b w:val="false"/>
                <w:bCs w:val="false"/>
                <w:color w:val="000000"/>
                <w:sz w:val="19"/>
                <w:szCs w:val="19"/>
              </w:rPr>
              <w:t xml:space="preserve">Choix entre 4 cartes sans accompagnement en amont</w:t>
            </w:r>
          </w:p>
        </w:tc>
        <w:tc>
          <w:tcPr>
            <w:tcW w:type="dxa" w:w="3400"/>
            <w:tcMar>
              <w:top w:type="dxa" w:w="100"/>
              <w:left w:type="dxa" w:w="120"/>
              <w:bottom w:type="dxa" w:w="100"/>
              <w:right w:type="dxa" w:w="120"/>
            </w:tcMar>
          </w:tcPr>
          <w:p>
            <w:r>
              <w:rPr>
                <w:b w:val="false"/>
                <w:bCs w:val="false"/>
                <w:color w:val="000000"/>
                <w:sz w:val="19"/>
                <w:szCs w:val="19"/>
              </w:rPr>
              <w:t xml:space="preserve">Risque d'abandon ou de mauvais choix de produit</w:t>
            </w:r>
          </w:p>
        </w:tc>
        <w:tc>
          <w:tcPr>
            <w:tcW w:type="dxa" w:w="3300"/>
            <w:tcMar>
              <w:top w:type="dxa" w:w="100"/>
              <w:left w:type="dxa" w:w="120"/>
              <w:bottom w:type="dxa" w:w="100"/>
              <w:right w:type="dxa" w:w="120"/>
            </w:tcMar>
          </w:tcPr>
          <w:p>
            <w:r>
              <w:rPr>
                <w:b w:val="false"/>
                <w:bCs w:val="false"/>
                <w:color w:val="000000"/>
                <w:sz w:val="19"/>
                <w:szCs w:val="19"/>
              </w:rPr>
              <w:t xml:space="preserve">Le comparatif de cartes existe mais n'est pas intégré en amont du tunnel de souscription</w:t>
            </w:r>
          </w:p>
        </w:tc>
      </w:tr>
      <w:tr>
        <w:tc>
          <w:tcPr>
            <w:tcW w:type="dxa" w:w="3000"/>
            <w:tcMar>
              <w:top w:type="dxa" w:w="100"/>
              <w:left w:type="dxa" w:w="120"/>
              <w:bottom w:type="dxa" w:w="100"/>
              <w:right w:type="dxa" w:w="120"/>
            </w:tcMar>
          </w:tcPr>
          <w:p>
            <w:r>
              <w:rPr>
                <w:b w:val="false"/>
                <w:bCs w:val="false"/>
                <w:color w:val="000000"/>
                <w:sz w:val="19"/>
                <w:szCs w:val="19"/>
              </w:rPr>
              <w:t xml:space="preserve">Seuil de revenus (3000€/mois) pour le tout-en-ligne</w:t>
            </w:r>
          </w:p>
        </w:tc>
        <w:tc>
          <w:tcPr>
            <w:tcW w:type="dxa" w:w="3400"/>
            <w:tcMar>
              <w:top w:type="dxa" w:w="100"/>
              <w:left w:type="dxa" w:w="120"/>
              <w:bottom w:type="dxa" w:w="100"/>
              <w:right w:type="dxa" w:w="120"/>
            </w:tcMar>
          </w:tcPr>
          <w:p>
            <w:r>
              <w:rPr>
                <w:b w:val="false"/>
                <w:bCs w:val="false"/>
                <w:color w:val="000000"/>
                <w:sz w:val="19"/>
                <w:szCs w:val="19"/>
              </w:rPr>
              <w:t xml:space="preserve">Exclut une partie de la cible jeunes actifs/étudiants sans alternative immédiate</w:t>
            </w:r>
          </w:p>
        </w:tc>
        <w:tc>
          <w:tcPr>
            <w:tcW w:type="dxa" w:w="3300"/>
            <w:tcMar>
              <w:top w:type="dxa" w:w="100"/>
              <w:left w:type="dxa" w:w="120"/>
              <w:bottom w:type="dxa" w:w="100"/>
              <w:right w:type="dxa" w:w="120"/>
            </w:tcMar>
          </w:tcPr>
          <w:p>
            <w:r>
              <w:rPr>
                <w:b w:val="false"/>
                <w:bCs w:val="false"/>
                <w:color w:val="000000"/>
                <w:sz w:val="19"/>
                <w:szCs w:val="19"/>
              </w:rPr>
              <w:t xml:space="preserve">Condition mentionnée sans parcours de repli clair proposé au même moment</w:t>
            </w:r>
          </w:p>
        </w:tc>
      </w:tr>
      <w:tr>
        <w:tc>
          <w:tcPr>
            <w:tcW w:type="dxa" w:w="3000"/>
            <w:tcMar>
              <w:top w:type="dxa" w:w="100"/>
              <w:left w:type="dxa" w:w="120"/>
              <w:bottom w:type="dxa" w:w="100"/>
              <w:right w:type="dxa" w:w="120"/>
            </w:tcMar>
          </w:tcPr>
          <w:p>
            <w:r>
              <w:rPr>
                <w:b w:val="false"/>
                <w:bCs w:val="false"/>
                <w:color w:val="000000"/>
                <w:sz w:val="19"/>
                <w:szCs w:val="19"/>
              </w:rPr>
              <w:t xml:space="preserve">Choix binaire biométrie / versement initial peu expliqué</w:t>
            </w:r>
          </w:p>
        </w:tc>
        <w:tc>
          <w:tcPr>
            <w:tcW w:type="dxa" w:w="3400"/>
            <w:tcMar>
              <w:top w:type="dxa" w:w="100"/>
              <w:left w:type="dxa" w:w="120"/>
              <w:bottom w:type="dxa" w:w="100"/>
              <w:right w:type="dxa" w:w="120"/>
            </w:tcMar>
          </w:tcPr>
          <w:p>
            <w:r>
              <w:rPr>
                <w:b w:val="false"/>
                <w:bCs w:val="false"/>
                <w:color w:val="000000"/>
                <w:sz w:val="19"/>
                <w:szCs w:val="19"/>
              </w:rPr>
              <w:t xml:space="preserve">Hésitation, abandon en cours de parcours</w:t>
            </w:r>
          </w:p>
        </w:tc>
        <w:tc>
          <w:tcPr>
            <w:tcW w:type="dxa" w:w="3300"/>
            <w:tcMar>
              <w:top w:type="dxa" w:w="100"/>
              <w:left w:type="dxa" w:w="120"/>
              <w:bottom w:type="dxa" w:w="100"/>
              <w:right w:type="dxa" w:w="120"/>
            </w:tcMar>
          </w:tcPr>
          <w:p>
            <w:r>
              <w:rPr>
                <w:b w:val="false"/>
                <w:bCs w:val="false"/>
                <w:color w:val="000000"/>
                <w:sz w:val="19"/>
                <w:szCs w:val="19"/>
              </w:rPr>
              <w:t xml:space="preserve">Aucune estimation de temps ni de simplicité affichée pour guider le choix</w:t>
            </w:r>
          </w:p>
        </w:tc>
      </w:tr>
      <w:tr>
        <w:tc>
          <w:tcPr>
            <w:tcW w:type="dxa" w:w="3000"/>
            <w:tcMar>
              <w:top w:type="dxa" w:w="100"/>
              <w:left w:type="dxa" w:w="120"/>
              <w:bottom w:type="dxa" w:w="100"/>
              <w:right w:type="dxa" w:w="120"/>
            </w:tcMar>
          </w:tcPr>
          <w:p>
            <w:r>
              <w:rPr>
                <w:b w:val="false"/>
                <w:bCs w:val="false"/>
                <w:color w:val="000000"/>
                <w:sz w:val="19"/>
                <w:szCs w:val="19"/>
              </w:rPr>
              <w:t xml:space="preserve">Conditions de la prime de bienvenue peu visibles</w:t>
            </w:r>
          </w:p>
        </w:tc>
        <w:tc>
          <w:tcPr>
            <w:tcW w:type="dxa" w:w="3400"/>
            <w:tcMar>
              <w:top w:type="dxa" w:w="100"/>
              <w:left w:type="dxa" w:w="120"/>
              <w:bottom w:type="dxa" w:w="100"/>
              <w:right w:type="dxa" w:w="120"/>
            </w:tcMar>
          </w:tcPr>
          <w:p>
            <w:r>
              <w:rPr>
                <w:b w:val="false"/>
                <w:bCs w:val="false"/>
                <w:color w:val="000000"/>
                <w:sz w:val="19"/>
                <w:szCs w:val="19"/>
              </w:rPr>
              <w:t xml:space="preserve">Incompréhension ou perte de confiance si le client rate l'échéance</w:t>
            </w:r>
          </w:p>
        </w:tc>
        <w:tc>
          <w:tcPr>
            <w:tcW w:type="dxa" w:w="3300"/>
            <w:tcMar>
              <w:top w:type="dxa" w:w="100"/>
              <w:left w:type="dxa" w:w="120"/>
              <w:bottom w:type="dxa" w:w="100"/>
              <w:right w:type="dxa" w:w="120"/>
            </w:tcMar>
          </w:tcPr>
          <w:p>
            <w:r>
              <w:rPr>
                <w:b w:val="false"/>
                <w:bCs w:val="false"/>
                <w:color w:val="000000"/>
                <w:sz w:val="19"/>
                <w:szCs w:val="19"/>
              </w:rPr>
              <w:t xml:space="preserve">Dates de validité (ex. validation puis confirmation à un mois d'intervalle) reléguées aux mentions légales</w:t>
            </w:r>
          </w:p>
        </w:tc>
      </w:tr>
    </w:tbl>
    <w:p>
      <w:pPr>
        <w:spacing w:after="200"/>
      </w:pPr>
    </w:p>
    <w:p>
      <w:pPr>
        <w:pStyle w:val="Heading1"/>
        <w:spacing w:after="150" w:before="300"/>
      </w:pPr>
      <w:r>
        <w:rPr>
          <w:b/>
          <w:bCs/>
          <w:color w:val="1B2A4A"/>
          <w:sz w:val="26"/>
          <w:szCs w:val="26"/>
        </w:rPr>
        <w:t xml:space="preserve">5. Recommandations</w:t>
      </w:r>
    </w:p>
    <w:p>
      <w:pPr>
        <w:pStyle w:val="ListParagraph"/>
        <w:numPr>
          <w:ilvl w:val="0"/>
          <w:numId w:val="2"/>
        </w:numPr>
        <w:spacing w:after="60"/>
      </w:pPr>
      <w:r>
        <w:rPr>
          <w:sz w:val="21"/>
          <w:szCs w:val="21"/>
        </w:rPr>
        <w:t xml:space="preserve">Repositionner le comparateur de cartes en amont du tunnel, sous forme de quiz court (« 3 questions pour trouver votre carte »)</w:t>
      </w:r>
    </w:p>
    <w:p>
      <w:pPr>
        <w:pStyle w:val="ListParagraph"/>
        <w:numPr>
          <w:ilvl w:val="0"/>
          <w:numId w:val="2"/>
        </w:numPr>
        <w:spacing w:after="60"/>
      </w:pPr>
      <w:r>
        <w:rPr>
          <w:sz w:val="21"/>
          <w:szCs w:val="21"/>
        </w:rPr>
        <w:t xml:space="preserve">Créer un parcours de repli visible et rassurant pour les profils sous le seuil de revenu : pré-qualification transparente + proposition de rendez-vous en agence dès le début, pas en butée finale</w:t>
      </w:r>
    </w:p>
    <w:p>
      <w:pPr>
        <w:pStyle w:val="ListParagraph"/>
        <w:numPr>
          <w:ilvl w:val="0"/>
          <w:numId w:val="2"/>
        </w:numPr>
        <w:spacing w:after="60"/>
      </w:pPr>
      <w:r>
        <w:rPr>
          <w:sz w:val="21"/>
          <w:szCs w:val="21"/>
        </w:rPr>
        <w:t xml:space="preserve">Afficher un temps estimé par étape (« 3 min — pièce d'identité », « 2 min — justificatif de domicile ») pour réduire l'abandon</w:t>
      </w:r>
    </w:p>
    <w:p>
      <w:pPr>
        <w:pStyle w:val="ListParagraph"/>
        <w:numPr>
          <w:ilvl w:val="0"/>
          <w:numId w:val="2"/>
        </w:numPr>
        <w:spacing w:after="60"/>
      </w:pPr>
      <w:r>
        <w:rPr>
          <w:sz w:val="21"/>
          <w:szCs w:val="21"/>
        </w:rPr>
        <w:t xml:space="preserve">Rendre visible, dès l'entrée du tunnel, un bandeau clair sur les conditions et échéances de la prime de bienvenue</w:t>
      </w:r>
    </w:p>
    <w:p>
      <w:pPr>
        <w:pStyle w:val="Heading1"/>
        <w:spacing w:after="150" w:before="300"/>
      </w:pPr>
      <w:r>
        <w:rPr>
          <w:b/>
          <w:bCs/>
          <w:color w:val="1B2A4A"/>
          <w:sz w:val="26"/>
          <w:szCs w:val="26"/>
        </w:rPr>
        <w:t xml:space="preserve">6. Conduite du changement — faire adopter ces recommandations en interne</w:t>
      </w:r>
    </w:p>
    <w:p>
      <w:pPr>
        <w:spacing w:after="120"/>
      </w:pPr>
      <w:r>
        <w:rPr>
          <w:sz w:val="21"/>
          <w:szCs w:val="21"/>
        </w:rPr>
        <w:t xml:space="preserve">Dans une banque comme BNP Paribas, ces évolutions touchent au moins trois équipes : marketing acquisition, produit digital et conformité/KYC. Un simple audit UX ne suffit pas à les faire vivre ; voici la manière dont je structurerais leur adoption :</w:t>
      </w:r>
    </w:p>
    <w:p>
      <w:pPr>
        <w:pStyle w:val="ListParagraph"/>
        <w:numPr>
          <w:ilvl w:val="0"/>
          <w:numId w:val="3"/>
        </w:numPr>
        <w:spacing w:after="60"/>
      </w:pPr>
      <w:r>
        <w:rPr>
          <w:sz w:val="21"/>
          <w:szCs w:val="21"/>
        </w:rPr>
        <w:t xml:space="preserve">Présenter les frictions avec des données chiffrées (taux d'abandon par étape, ou hypothèses documentées) pour objectiver le sujet auprès des équipes</w:t>
      </w:r>
    </w:p>
    <w:p>
      <w:pPr>
        <w:pStyle w:val="ListParagraph"/>
        <w:numPr>
          <w:ilvl w:val="0"/>
          <w:numId w:val="3"/>
        </w:numPr>
        <w:spacing w:after="60"/>
      </w:pPr>
      <w:r>
        <w:rPr>
          <w:sz w:val="21"/>
          <w:szCs w:val="21"/>
        </w:rPr>
        <w:t xml:space="preserve">Impliquer la conformité dès le départ : le seuil de revenu et les pièces demandées relèvent de la réglementation, pas seulement de l'UX — les co-construire évite un blocage tardif</w:t>
      </w:r>
    </w:p>
    <w:p>
      <w:pPr>
        <w:pStyle w:val="ListParagraph"/>
        <w:numPr>
          <w:ilvl w:val="0"/>
          <w:numId w:val="3"/>
        </w:numPr>
        <w:spacing w:after="60"/>
      </w:pPr>
      <w:r>
        <w:rPr>
          <w:sz w:val="21"/>
          <w:szCs w:val="21"/>
        </w:rPr>
        <w:t xml:space="preserve">Tester les évolutions en A/B sur un segment limité avant tout déploiement large</w:t>
      </w:r>
    </w:p>
    <w:p>
      <w:pPr>
        <w:pStyle w:val="ListParagraph"/>
        <w:numPr>
          <w:ilvl w:val="0"/>
          <w:numId w:val="3"/>
        </w:numPr>
        <w:spacing w:after="60"/>
      </w:pPr>
      <w:r>
        <w:rPr>
          <w:sz w:val="21"/>
          <w:szCs w:val="21"/>
        </w:rPr>
        <w:t xml:space="preserve">Former les équipes support et agence au nouveau parcours, pour que le relais digital → agence reste fluide côté client</w:t>
      </w:r>
    </w:p>
    <w:p>
      <w:pPr>
        <w:pStyle w:val="Heading1"/>
        <w:spacing w:after="150" w:before="300"/>
      </w:pPr>
      <w:r>
        <w:rPr>
          <w:b/>
          <w:bCs/>
          <w:color w:val="1B2A4A"/>
          <w:sz w:val="26"/>
          <w:szCs w:val="26"/>
        </w:rPr>
        <w:t xml:space="preserve">7. Ce que ce cas démontre</w:t>
      </w:r>
    </w:p>
    <w:p>
      <w:pPr>
        <w:pStyle w:val="ListParagraph"/>
        <w:numPr>
          <w:ilvl w:val="0"/>
          <w:numId w:val="2"/>
        </w:numPr>
        <w:spacing w:after="60"/>
      </w:pPr>
      <w:r>
        <w:rPr>
          <w:sz w:val="21"/>
          <w:szCs w:val="21"/>
        </w:rPr>
        <w:t xml:space="preserve">Une capacité à analyser un parcours client avec un double regard marketing et expérience utilisateur</w:t>
      </w:r>
    </w:p>
    <w:p>
      <w:pPr>
        <w:pStyle w:val="ListParagraph"/>
        <w:numPr>
          <w:ilvl w:val="0"/>
          <w:numId w:val="2"/>
        </w:numPr>
        <w:spacing w:after="60"/>
      </w:pPr>
      <w:r>
        <w:rPr>
          <w:sz w:val="21"/>
          <w:szCs w:val="21"/>
        </w:rPr>
        <w:t xml:space="preserve">Une compréhension des contraintes réglementaires propres au secteur bancaire</w:t>
      </w:r>
    </w:p>
    <w:p>
      <w:pPr>
        <w:pStyle w:val="ListParagraph"/>
        <w:numPr>
          <w:ilvl w:val="0"/>
          <w:numId w:val="2"/>
        </w:numPr>
        <w:spacing w:after="60"/>
      </w:pPr>
      <w:r>
        <w:rPr>
          <w:sz w:val="21"/>
          <w:szCs w:val="21"/>
        </w:rPr>
        <w:t xml:space="preserve">Une capacité à formuler des recommandations et à anticiper leur adoption interne — la conduite du changement — plutôt qu'à seulement lister des idées</w:t>
      </w:r>
    </w:p>
    <w:p>
      <w:pPr>
        <w:pBdr>
          <w:top w:val="single" w:color="CCCCCC" w:sz="6"/>
        </w:pBdr>
        <w:spacing w:before="300"/>
      </w:pPr>
    </w:p>
    <w:p>
      <w:pPr>
        <w:spacing w:before="150"/>
      </w:pPr>
      <w:r>
        <w:rPr>
          <w:i/>
          <w:iCs/>
          <w:color w:val="555555"/>
          <w:sz w:val="18"/>
          <w:szCs w:val="18"/>
        </w:rPr>
        <w:t xml:space="preserve">Daryne Voufo — Digital Marketing &amp; Transformation des Parcours Clients</w:t>
      </w:r>
    </w:p>
    <w:sectPr>
      <w:pgSz w:w="11907" w:h="16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2026-07-28T12:54:41.717Z</dcterms:created>
  <dcterms:modified xsi:type="dcterms:W3CDTF">2026-07-28T12:54:41.770Z</dcterms:modified>
</cp:coreProperties>
</file>

<file path=docProps/custom.xml><?xml version="1.0" encoding="utf-8"?>
<Properties xmlns="http://schemas.openxmlformats.org/officeDocument/2006/custom-properties" xmlns:vt="http://schemas.openxmlformats.org/officeDocument/2006/docPropsVTypes"/>
</file>